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9C0145" w14:textId="77777777" w:rsidR="000D67A3" w:rsidRDefault="00000000">
      <w:pPr>
        <w:spacing w:after="280" w:line="240" w:lineRule="auto"/>
        <w:rPr>
          <w:rFonts w:ascii="Times New Roman" w:eastAsia="Times New Roman" w:hAnsi="Times New Roman" w:cs="Times New Roman"/>
          <w:b/>
          <w:bCs/>
          <w:sz w:val="48"/>
          <w:szCs w:val="48"/>
        </w:rPr>
      </w:pPr>
      <w:r>
        <w:rPr>
          <w:rFonts w:ascii="Times New Roman" w:eastAsia="Times New Roman" w:hAnsi="Times New Roman" w:cs="Times New Roman"/>
          <w:b/>
          <w:bCs/>
          <w:sz w:val="48"/>
          <w:szCs w:val="48"/>
        </w:rPr>
        <w:t>Internal Audit Memorandum</w:t>
      </w:r>
    </w:p>
    <w:p w14:paraId="37E993D3" w14:textId="77777777" w:rsidR="000D67A3" w:rsidRDefault="00000000">
      <w:pPr>
        <w:spacing w:before="280" w:after="280" w:line="240" w:lineRule="auto"/>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Subject: Introduction of Systemic Aggregate Third-Party Data Exposure Risk</w:t>
      </w:r>
    </w:p>
    <w:p w14:paraId="16D8E4BD" w14:textId="77777777" w:rsidR="000D67A3" w:rsidRDefault="00000000">
      <w:pPr>
        <w:spacing w:before="280" w:after="280" w:line="240" w:lineRule="auto"/>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To: Chief Audit Executive</w:t>
      </w:r>
    </w:p>
    <w:p w14:paraId="19CBED65" w14:textId="77777777" w:rsidR="000D67A3" w:rsidRDefault="00000000">
      <w:pPr>
        <w:spacing w:before="280" w:after="280" w:line="240" w:lineRule="auto"/>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From: Internal Audit</w:t>
      </w:r>
    </w:p>
    <w:p w14:paraId="3F5F0126" w14:textId="77777777" w:rsidR="000D67A3" w:rsidRDefault="00000000">
      <w:pPr>
        <w:spacing w:before="280" w:after="280" w:line="240" w:lineRule="auto"/>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Executive Summary</w:t>
      </w:r>
    </w:p>
    <w:p w14:paraId="3ABBF741" w14:textId="77777777" w:rsidR="000D67A3" w:rsidRDefault="00000000">
      <w:pPr>
        <w:spacing w:before="280" w:after="280" w:line="240" w:lineRule="auto"/>
        <w:jc w:val="both"/>
        <w:rPr>
          <w:rFonts w:ascii="Times New Roman" w:eastAsia="Times New Roman" w:hAnsi="Times New Roman" w:cs="Times New Roman"/>
        </w:rPr>
      </w:pPr>
      <w:r>
        <w:rPr>
          <w:rFonts w:ascii="Times New Roman" w:eastAsia="Times New Roman" w:hAnsi="Times New Roman" w:cs="Times New Roman"/>
        </w:rPr>
        <w:t>Our firm is subject to an unrecognized information technology risk that derives from our relationships with the third parties which drive or support a number of our business operations. This systemic risk stems from data breaches occurring or which have yet to occur at our business partners. While it is true that we have processes and controls in place through our Computer Security and Third Party Risk Management teams, they address the risk from an individual partner company standpoint. The problem is not with individual companies, but rather from the aggregate residual risk from these partner firms as a whole.  This residual risk is added to by each partner company which holds or has access to sensitive information.</w:t>
      </w:r>
    </w:p>
    <w:p w14:paraId="58095A65" w14:textId="77777777" w:rsidR="000D67A3" w:rsidRDefault="00000000">
      <w:pPr>
        <w:spacing w:before="280" w:after="280" w:line="240" w:lineRule="auto"/>
        <w:jc w:val="both"/>
        <w:rPr>
          <w:rFonts w:ascii="Times New Roman" w:eastAsia="Times New Roman" w:hAnsi="Times New Roman" w:cs="Times New Roman"/>
        </w:rPr>
      </w:pPr>
      <w:r>
        <w:rPr>
          <w:rFonts w:ascii="Times New Roman" w:eastAsia="Times New Roman" w:hAnsi="Times New Roman" w:cs="Times New Roman"/>
        </w:rPr>
        <w:t>It is possible to determine the likelihood of a significant, reportable data breach across our population of third parties by using a simple equation derived from probability theory which shows that the risk of a third-party data breach is proportional to the number of third parties with access to sensitive data. But beyond this, knowing the value of this likelihood will then allow our company to manage this systemic risk by strategically limiting unnecessary access to sensitive data (i.e., Data Minimization Principle) while still being able to add third parties when appropriate.</w:t>
      </w:r>
    </w:p>
    <w:p w14:paraId="79DDB01A" w14:textId="77777777" w:rsidR="000D67A3" w:rsidRDefault="00000000">
      <w:pPr>
        <w:spacing w:before="280" w:after="280" w:line="240" w:lineRule="auto"/>
        <w:rPr>
          <w:rFonts w:ascii="Times New Roman" w:eastAsia="Times New Roman" w:hAnsi="Times New Roman" w:cs="Times New Roman"/>
          <w:b/>
          <w:bCs/>
          <w:sz w:val="36"/>
          <w:szCs w:val="36"/>
        </w:rPr>
      </w:pPr>
      <w:r>
        <w:rPr>
          <w:rFonts w:ascii="Times New Roman" w:eastAsia="Times New Roman" w:hAnsi="Times New Roman" w:cs="Times New Roman"/>
          <w:b/>
          <w:bCs/>
          <w:sz w:val="48"/>
          <w:szCs w:val="48"/>
        </w:rPr>
        <w:t>1. Description of the Systemic Risk</w:t>
      </w:r>
    </w:p>
    <w:p w14:paraId="700BF4BC" w14:textId="52788649" w:rsidR="00AB1002" w:rsidRDefault="00AB1002" w:rsidP="00AB1002">
      <w:pPr>
        <w:spacing w:before="280" w:after="280" w:line="240" w:lineRule="auto"/>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1.2 Nature of the Risk</w:t>
      </w:r>
    </w:p>
    <w:p w14:paraId="48B9C65D" w14:textId="77777777" w:rsidR="000D67A3" w:rsidRDefault="00000000">
      <w:pPr>
        <w:spacing w:before="280" w:after="280" w:line="240" w:lineRule="auto"/>
        <w:jc w:val="both"/>
        <w:rPr>
          <w:rFonts w:ascii="Times New Roman" w:eastAsia="Times New Roman" w:hAnsi="Times New Roman" w:cs="Times New Roman"/>
          <w:color w:val="0000FF"/>
        </w:rPr>
      </w:pPr>
      <w:r>
        <w:rPr>
          <w:rFonts w:ascii="Times New Roman" w:eastAsia="Times New Roman" w:hAnsi="Times New Roman" w:cs="Times New Roman"/>
        </w:rPr>
        <w:t>Our organization maintains a large and growing number of third-party relationships that store, process, or transmit sensitive data. Each of these third parties introduces a non-zero probability of breach, even after due diligence and mitigation. When aggregated across all of our third parties, the cumulative probability becomes material and orders of magnitude higher than the risk posed by any single vendor. Analysis of the frequency of data breach sources shows the number third-party breaches relative to internal data breaches</w:t>
      </w:r>
      <w:r>
        <w:rPr>
          <w:rFonts w:ascii="Times New Roman" w:eastAsia="Times New Roman" w:hAnsi="Times New Roman" w:cs="Times New Roman"/>
          <w:vertAlign w:val="superscript"/>
        </w:rPr>
        <w:footnoteReference w:id="1"/>
      </w:r>
      <w:r>
        <w:rPr>
          <w:rFonts w:ascii="Times New Roman" w:eastAsia="Times New Roman" w:hAnsi="Times New Roman" w:cs="Times New Roman"/>
        </w:rPr>
        <w:t xml:space="preserve"> is more than two times higher, making this risk </w:t>
      </w:r>
      <w:r>
        <w:rPr>
          <w:rFonts w:ascii="Times New Roman" w:eastAsia="Times New Roman" w:hAnsi="Times New Roman" w:cs="Times New Roman"/>
        </w:rPr>
        <w:lastRenderedPageBreak/>
        <w:t>likely the biggest data breach risk for our organization. Probability theory allows us to calculate the Expected Value</w:t>
      </w:r>
      <w:r>
        <w:rPr>
          <w:rFonts w:ascii="Times New Roman" w:eastAsia="Times New Roman" w:hAnsi="Times New Roman" w:cs="Times New Roman"/>
          <w:vertAlign w:val="superscript"/>
        </w:rPr>
        <w:footnoteReference w:id="2"/>
      </w:r>
      <w:r>
        <w:rPr>
          <w:rFonts w:ascii="Times New Roman" w:eastAsia="Times New Roman" w:hAnsi="Times New Roman" w:cs="Times New Roman"/>
        </w:rPr>
        <w:t xml:space="preserve"> (likelihood) of such a breach as simply the product of the number of third parties that could expose data and the average probability across all third parties</w:t>
      </w:r>
      <w:r>
        <w:rPr>
          <w:rFonts w:ascii="Times New Roman" w:eastAsia="Times New Roman" w:hAnsi="Times New Roman" w:cs="Times New Roman"/>
          <w:vertAlign w:val="superscript"/>
        </w:rPr>
        <w:footnoteReference w:id="3"/>
      </w:r>
      <w:r>
        <w:rPr>
          <w:rFonts w:ascii="Times New Roman" w:eastAsia="Times New Roman" w:hAnsi="Times New Roman" w:cs="Times New Roman"/>
        </w:rPr>
        <w:t>.</w:t>
      </w:r>
    </w:p>
    <w:p w14:paraId="5C43031E" w14:textId="77777777" w:rsidR="000D67A3" w:rsidRDefault="00000000">
      <w:pPr>
        <w:spacing w:before="280" w:after="280" w:line="240" w:lineRule="auto"/>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1.2 Why the Risk Is Systemic</w:t>
      </w:r>
    </w:p>
    <w:p w14:paraId="11DB7F54" w14:textId="77777777" w:rsidR="000D67A3" w:rsidRDefault="00000000">
      <w:pPr>
        <w:spacing w:before="280"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Third‑party data breach risk is systemic because it arises not from any single vendor, but from the aggregate structure of the entire third‑party ecosystem. Each vendor contributes its own probability of causing a breach, and </w:t>
      </w:r>
      <w:r>
        <w:rPr>
          <w:rFonts w:ascii="Times New Roman" w:eastAsia="Times New Roman" w:hAnsi="Times New Roman" w:cs="Times New Roman"/>
          <w:b/>
          <w:bCs/>
        </w:rPr>
        <w:t>probability theory</w:t>
      </w:r>
      <w:r>
        <w:rPr>
          <w:rFonts w:ascii="Times New Roman" w:eastAsia="Times New Roman" w:hAnsi="Times New Roman" w:cs="Times New Roman"/>
        </w:rPr>
        <w:t xml:space="preserve"> tells us that the expected loss is the sum of all those independent probabilities. As the number of third parties grows, the cumulative probability grows with it — even if each individual vendor is well‑managed.</w:t>
      </w:r>
    </w:p>
    <w:p w14:paraId="2CB07370" w14:textId="77777777" w:rsidR="000D67A3" w:rsidRDefault="00000000">
      <w:pPr>
        <w:spacing w:before="280" w:after="0" w:line="240" w:lineRule="auto"/>
        <w:jc w:val="both"/>
        <w:rPr>
          <w:rFonts w:ascii="Times New Roman" w:eastAsia="Times New Roman" w:hAnsi="Times New Roman" w:cs="Times New Roman"/>
          <w:b/>
          <w:bCs/>
          <w:sz w:val="48"/>
          <w:szCs w:val="48"/>
        </w:rPr>
      </w:pPr>
      <w:r>
        <w:rPr>
          <w:rFonts w:ascii="Times New Roman" w:eastAsia="Times New Roman" w:hAnsi="Times New Roman" w:cs="Times New Roman"/>
          <w:b/>
          <w:bCs/>
          <w:sz w:val="48"/>
          <w:szCs w:val="48"/>
        </w:rPr>
        <w:t>2. Risk Assessment</w:t>
      </w:r>
    </w:p>
    <w:p w14:paraId="084952D4" w14:textId="77777777" w:rsidR="000D67A3" w:rsidRDefault="00000000">
      <w:pPr>
        <w:spacing w:before="280" w:after="280" w:line="240" w:lineRule="auto"/>
        <w:rPr>
          <w:rFonts w:ascii="Times New Roman" w:eastAsia="Times New Roman" w:hAnsi="Times New Roman" w:cs="Times New Roman"/>
          <w:color w:val="0000FF"/>
        </w:rPr>
      </w:pPr>
      <w:r>
        <w:rPr>
          <w:rFonts w:ascii="Times New Roman" w:eastAsia="Times New Roman" w:hAnsi="Times New Roman" w:cs="Times New Roman"/>
          <w:b/>
          <w:bCs/>
          <w:sz w:val="36"/>
          <w:szCs w:val="36"/>
        </w:rPr>
        <w:t>2.1 Likelihood</w:t>
      </w:r>
    </w:p>
    <w:p w14:paraId="7FFB38E6" w14:textId="0CF821C5" w:rsidR="000D67A3" w:rsidRDefault="004904C5">
      <w:pPr>
        <w:spacing w:before="280" w:after="280" w:line="240" w:lineRule="auto"/>
        <w:jc w:val="both"/>
        <w:rPr>
          <w:rFonts w:ascii="Times New Roman" w:eastAsia="Times New Roman" w:hAnsi="Times New Roman" w:cs="Times New Roman"/>
          <w:color w:val="0000FF"/>
        </w:rPr>
      </w:pPr>
      <w:r>
        <w:rPr>
          <w:rFonts w:ascii="Times New Roman" w:eastAsia="Times New Roman" w:hAnsi="Times New Roman" w:cs="Times New Roman"/>
          <w:b/>
          <w:bCs/>
          <w:noProof/>
          <w:sz w:val="36"/>
          <w:szCs w:val="36"/>
        </w:rPr>
        <mc:AlternateContent>
          <mc:Choice Requires="wps">
            <w:drawing>
              <wp:anchor distT="0" distB="0" distL="114300" distR="114300" simplePos="0" relativeHeight="251659264" behindDoc="1" locked="0" layoutInCell="1" allowOverlap="1" wp14:anchorId="26343C0A" wp14:editId="3CF00B53">
                <wp:simplePos x="0" y="0"/>
                <wp:positionH relativeFrom="column">
                  <wp:posOffset>3911600</wp:posOffset>
                </wp:positionH>
                <wp:positionV relativeFrom="paragraph">
                  <wp:posOffset>-20320</wp:posOffset>
                </wp:positionV>
                <wp:extent cx="2025650" cy="3549650"/>
                <wp:effectExtent l="0" t="0" r="6350" b="6350"/>
                <wp:wrapTight wrapText="bothSides">
                  <wp:wrapPolygon edited="0">
                    <wp:start x="0" y="0"/>
                    <wp:lineTo x="0" y="21561"/>
                    <wp:lineTo x="21532" y="21561"/>
                    <wp:lineTo x="21532" y="0"/>
                    <wp:lineTo x="0" y="0"/>
                  </wp:wrapPolygon>
                </wp:wrapTight>
                <wp:docPr id="771282397" name="Text Box 2"/>
                <wp:cNvGraphicFramePr/>
                <a:graphic xmlns:a="http://schemas.openxmlformats.org/drawingml/2006/main">
                  <a:graphicData uri="http://schemas.microsoft.com/office/word/2010/wordprocessingShape">
                    <wps:wsp>
                      <wps:cNvSpPr txBox="1"/>
                      <wps:spPr>
                        <a:xfrm>
                          <a:off x="0" y="0"/>
                          <a:ext cx="2025650" cy="3549650"/>
                        </a:xfrm>
                        <a:prstGeom prst="rect">
                          <a:avLst/>
                        </a:prstGeom>
                        <a:solidFill>
                          <a:schemeClr val="lt1"/>
                        </a:solidFill>
                        <a:ln w="6350">
                          <a:noFill/>
                        </a:ln>
                      </wps:spPr>
                      <wps:txbx>
                        <w:txbxContent>
                          <w:tbl>
                            <w:tblPr>
                              <w:tblStyle w:val="TableGrid"/>
                              <w:tblW w:w="0" w:type="auto"/>
                              <w:tblInd w:w="-5" w:type="dxa"/>
                              <w:tblLook w:val="04A0" w:firstRow="1" w:lastRow="0" w:firstColumn="1" w:lastColumn="0" w:noHBand="0" w:noVBand="1"/>
                            </w:tblPr>
                            <w:tblGrid>
                              <w:gridCol w:w="1250"/>
                              <w:gridCol w:w="1630"/>
                            </w:tblGrid>
                            <w:tr w:rsidR="004904C5" w14:paraId="72FEF63A" w14:textId="77777777" w:rsidTr="004F5EDC">
                              <w:tc>
                                <w:tcPr>
                                  <w:tcW w:w="1250" w:type="dxa"/>
                                  <w:vAlign w:val="center"/>
                                </w:tcPr>
                                <w:p w14:paraId="1C695DE5" w14:textId="77777777" w:rsidR="004904C5" w:rsidRPr="004A7FCD" w:rsidRDefault="004904C5" w:rsidP="004A7FCD">
                                  <w:pPr>
                                    <w:spacing w:before="20" w:after="20"/>
                                    <w:jc w:val="right"/>
                                    <w:rPr>
                                      <w:sz w:val="22"/>
                                      <w:szCs w:val="22"/>
                                      <w:lang w:val="en-US"/>
                                    </w:rPr>
                                  </w:pPr>
                                  <w:r w:rsidRPr="004A7FCD">
                                    <w:rPr>
                                      <w:rFonts w:ascii="Times New Roman" w:eastAsia="Times New Roman" w:hAnsi="Times New Roman" w:cs="Times New Roman"/>
                                      <w:b/>
                                      <w:bCs/>
                                      <w:color w:val="0000FF"/>
                                      <w:sz w:val="22"/>
                                      <w:szCs w:val="22"/>
                                    </w:rPr>
                                    <w:t>Employees</w:t>
                                  </w:r>
                                </w:p>
                              </w:tc>
                              <w:tc>
                                <w:tcPr>
                                  <w:tcW w:w="1630" w:type="dxa"/>
                                  <w:vAlign w:val="center"/>
                                </w:tcPr>
                                <w:p w14:paraId="1143D995" w14:textId="77777777" w:rsidR="004904C5" w:rsidRPr="004A7FCD" w:rsidRDefault="004904C5" w:rsidP="004A7FCD">
                                  <w:pPr>
                                    <w:spacing w:before="20" w:after="20"/>
                                    <w:jc w:val="right"/>
                                    <w:rPr>
                                      <w:sz w:val="22"/>
                                      <w:szCs w:val="22"/>
                                      <w:lang w:val="en-US"/>
                                    </w:rPr>
                                  </w:pPr>
                                  <w:r w:rsidRPr="004A7FCD">
                                    <w:rPr>
                                      <w:rFonts w:ascii="Times New Roman" w:eastAsia="Times New Roman" w:hAnsi="Times New Roman" w:cs="Times New Roman"/>
                                      <w:b/>
                                      <w:bCs/>
                                      <w:color w:val="0000FF"/>
                                      <w:sz w:val="22"/>
                                      <w:szCs w:val="22"/>
                                    </w:rPr>
                                    <w:t>Mean Vendors</w:t>
                                  </w:r>
                                </w:p>
                              </w:tc>
                            </w:tr>
                            <w:tr w:rsidR="004904C5" w14:paraId="3134C7FA" w14:textId="77777777" w:rsidTr="004F5EDC">
                              <w:tc>
                                <w:tcPr>
                                  <w:tcW w:w="1250" w:type="dxa"/>
                                  <w:vAlign w:val="center"/>
                                </w:tcPr>
                                <w:p w14:paraId="3A390BC0" w14:textId="77777777" w:rsidR="004904C5" w:rsidRPr="004A7FCD" w:rsidRDefault="004904C5" w:rsidP="004A7FCD">
                                  <w:pPr>
                                    <w:spacing w:before="20" w:after="20"/>
                                    <w:jc w:val="right"/>
                                    <w:rPr>
                                      <w:sz w:val="21"/>
                                      <w:szCs w:val="21"/>
                                      <w:lang w:val="en-US"/>
                                    </w:rPr>
                                  </w:pPr>
                                  <w:r w:rsidRPr="004A7FCD">
                                    <w:rPr>
                                      <w:rFonts w:ascii="Times New Roman" w:eastAsia="Times New Roman" w:hAnsi="Times New Roman" w:cs="Times New Roman"/>
                                      <w:color w:val="0000FF"/>
                                      <w:sz w:val="21"/>
                                      <w:szCs w:val="21"/>
                                    </w:rPr>
                                    <w:t>50</w:t>
                                  </w:r>
                                </w:p>
                              </w:tc>
                              <w:tc>
                                <w:tcPr>
                                  <w:tcW w:w="1630" w:type="dxa"/>
                                  <w:vAlign w:val="center"/>
                                </w:tcPr>
                                <w:p w14:paraId="3984A82E" w14:textId="77777777" w:rsidR="004904C5" w:rsidRPr="004A7FCD" w:rsidRDefault="004904C5" w:rsidP="004A7FCD">
                                  <w:pPr>
                                    <w:spacing w:before="20" w:after="20"/>
                                    <w:jc w:val="right"/>
                                    <w:rPr>
                                      <w:sz w:val="21"/>
                                      <w:szCs w:val="21"/>
                                      <w:lang w:val="en-US"/>
                                    </w:rPr>
                                  </w:pPr>
                                  <w:r w:rsidRPr="004A7FCD">
                                    <w:rPr>
                                      <w:rFonts w:ascii="Times New Roman" w:eastAsia="Times New Roman" w:hAnsi="Times New Roman" w:cs="Times New Roman"/>
                                      <w:color w:val="0000FF"/>
                                      <w:sz w:val="21"/>
                                      <w:szCs w:val="21"/>
                                    </w:rPr>
                                    <w:t>18</w:t>
                                  </w:r>
                                </w:p>
                              </w:tc>
                            </w:tr>
                            <w:tr w:rsidR="004904C5" w14:paraId="08343836" w14:textId="77777777" w:rsidTr="004F5EDC">
                              <w:tc>
                                <w:tcPr>
                                  <w:tcW w:w="1250" w:type="dxa"/>
                                  <w:vAlign w:val="center"/>
                                </w:tcPr>
                                <w:p w14:paraId="50E87E70" w14:textId="77777777" w:rsidR="004904C5" w:rsidRPr="004A7FCD" w:rsidRDefault="004904C5" w:rsidP="004A7FCD">
                                  <w:pPr>
                                    <w:spacing w:before="20" w:after="20"/>
                                    <w:jc w:val="right"/>
                                    <w:rPr>
                                      <w:rFonts w:ascii="Times New Roman" w:eastAsia="Times New Roman" w:hAnsi="Times New Roman" w:cs="Times New Roman"/>
                                      <w:color w:val="0000FF"/>
                                      <w:sz w:val="21"/>
                                      <w:szCs w:val="21"/>
                                    </w:rPr>
                                  </w:pPr>
                                  <w:r w:rsidRPr="004A7FCD">
                                    <w:rPr>
                                      <w:rFonts w:ascii="Times New Roman" w:eastAsia="Times New Roman" w:hAnsi="Times New Roman" w:cs="Times New Roman"/>
                                      <w:color w:val="0000FF"/>
                                      <w:sz w:val="21"/>
                                      <w:szCs w:val="21"/>
                                    </w:rPr>
                                    <w:t>100</w:t>
                                  </w:r>
                                </w:p>
                              </w:tc>
                              <w:tc>
                                <w:tcPr>
                                  <w:tcW w:w="1630" w:type="dxa"/>
                                  <w:vAlign w:val="center"/>
                                </w:tcPr>
                                <w:p w14:paraId="02476682" w14:textId="77777777" w:rsidR="004904C5" w:rsidRPr="004A7FCD" w:rsidRDefault="004904C5" w:rsidP="004A7FCD">
                                  <w:pPr>
                                    <w:spacing w:before="20" w:after="20"/>
                                    <w:jc w:val="right"/>
                                    <w:rPr>
                                      <w:rFonts w:ascii="Times New Roman" w:eastAsia="Times New Roman" w:hAnsi="Times New Roman" w:cs="Times New Roman"/>
                                      <w:color w:val="0000FF"/>
                                      <w:sz w:val="21"/>
                                      <w:szCs w:val="21"/>
                                    </w:rPr>
                                  </w:pPr>
                                  <w:r w:rsidRPr="004A7FCD">
                                    <w:rPr>
                                      <w:rFonts w:ascii="Times New Roman" w:eastAsia="Times New Roman" w:hAnsi="Times New Roman" w:cs="Times New Roman"/>
                                      <w:color w:val="0000FF"/>
                                      <w:sz w:val="21"/>
                                      <w:szCs w:val="21"/>
                                    </w:rPr>
                                    <w:t>33</w:t>
                                  </w:r>
                                </w:p>
                              </w:tc>
                            </w:tr>
                            <w:tr w:rsidR="004904C5" w14:paraId="048A5B3D" w14:textId="77777777" w:rsidTr="004F5EDC">
                              <w:tc>
                                <w:tcPr>
                                  <w:tcW w:w="1250" w:type="dxa"/>
                                  <w:vAlign w:val="center"/>
                                </w:tcPr>
                                <w:p w14:paraId="565D1ED3" w14:textId="77777777" w:rsidR="004904C5" w:rsidRPr="004A7FCD" w:rsidRDefault="004904C5" w:rsidP="004A7FCD">
                                  <w:pPr>
                                    <w:spacing w:before="20" w:after="20"/>
                                    <w:jc w:val="right"/>
                                    <w:rPr>
                                      <w:rFonts w:ascii="Times New Roman" w:eastAsia="Times New Roman" w:hAnsi="Times New Roman" w:cs="Times New Roman"/>
                                      <w:color w:val="0000FF"/>
                                      <w:sz w:val="21"/>
                                      <w:szCs w:val="21"/>
                                    </w:rPr>
                                  </w:pPr>
                                  <w:r w:rsidRPr="004A7FCD">
                                    <w:rPr>
                                      <w:rFonts w:ascii="Times New Roman" w:eastAsia="Times New Roman" w:hAnsi="Times New Roman" w:cs="Times New Roman"/>
                                      <w:color w:val="0000FF"/>
                                      <w:sz w:val="21"/>
                                      <w:szCs w:val="21"/>
                                    </w:rPr>
                                    <w:t>200</w:t>
                                  </w:r>
                                </w:p>
                              </w:tc>
                              <w:tc>
                                <w:tcPr>
                                  <w:tcW w:w="1630" w:type="dxa"/>
                                  <w:vAlign w:val="center"/>
                                </w:tcPr>
                                <w:p w14:paraId="4D745FC1" w14:textId="77777777" w:rsidR="004904C5" w:rsidRPr="004A7FCD" w:rsidRDefault="004904C5" w:rsidP="004A7FCD">
                                  <w:pPr>
                                    <w:spacing w:before="20" w:after="20"/>
                                    <w:jc w:val="right"/>
                                    <w:rPr>
                                      <w:rFonts w:ascii="Times New Roman" w:eastAsia="Times New Roman" w:hAnsi="Times New Roman" w:cs="Times New Roman"/>
                                      <w:color w:val="0000FF"/>
                                      <w:sz w:val="21"/>
                                      <w:szCs w:val="21"/>
                                    </w:rPr>
                                  </w:pPr>
                                  <w:r w:rsidRPr="004A7FCD">
                                    <w:rPr>
                                      <w:rFonts w:ascii="Times New Roman" w:eastAsia="Times New Roman" w:hAnsi="Times New Roman" w:cs="Times New Roman"/>
                                      <w:color w:val="0000FF"/>
                                      <w:sz w:val="21"/>
                                      <w:szCs w:val="21"/>
                                    </w:rPr>
                                    <w:t>49</w:t>
                                  </w:r>
                                </w:p>
                              </w:tc>
                            </w:tr>
                            <w:tr w:rsidR="004904C5" w14:paraId="2BB7B9D8" w14:textId="77777777" w:rsidTr="004F5EDC">
                              <w:tc>
                                <w:tcPr>
                                  <w:tcW w:w="1250" w:type="dxa"/>
                                  <w:vAlign w:val="center"/>
                                </w:tcPr>
                                <w:p w14:paraId="4ADAEAC2" w14:textId="77777777" w:rsidR="004904C5" w:rsidRPr="004A7FCD" w:rsidRDefault="004904C5" w:rsidP="004A7FCD">
                                  <w:pPr>
                                    <w:spacing w:before="20" w:after="20"/>
                                    <w:jc w:val="right"/>
                                    <w:rPr>
                                      <w:rFonts w:ascii="Times New Roman" w:eastAsia="Times New Roman" w:hAnsi="Times New Roman" w:cs="Times New Roman"/>
                                      <w:color w:val="0000FF"/>
                                      <w:sz w:val="21"/>
                                      <w:szCs w:val="21"/>
                                    </w:rPr>
                                  </w:pPr>
                                  <w:r w:rsidRPr="004A7FCD">
                                    <w:rPr>
                                      <w:rFonts w:ascii="Times New Roman" w:eastAsia="Times New Roman" w:hAnsi="Times New Roman" w:cs="Times New Roman"/>
                                      <w:color w:val="0000FF"/>
                                      <w:sz w:val="21"/>
                                      <w:szCs w:val="21"/>
                                    </w:rPr>
                                    <w:t>400</w:t>
                                  </w:r>
                                </w:p>
                              </w:tc>
                              <w:tc>
                                <w:tcPr>
                                  <w:tcW w:w="1630" w:type="dxa"/>
                                  <w:vAlign w:val="center"/>
                                </w:tcPr>
                                <w:p w14:paraId="4B6CE5C6" w14:textId="77777777" w:rsidR="004904C5" w:rsidRPr="004A7FCD" w:rsidRDefault="004904C5" w:rsidP="004A7FCD">
                                  <w:pPr>
                                    <w:spacing w:before="20" w:after="20"/>
                                    <w:jc w:val="right"/>
                                    <w:rPr>
                                      <w:rFonts w:ascii="Times New Roman" w:eastAsia="Times New Roman" w:hAnsi="Times New Roman" w:cs="Times New Roman"/>
                                      <w:color w:val="0000FF"/>
                                      <w:sz w:val="21"/>
                                      <w:szCs w:val="21"/>
                                    </w:rPr>
                                  </w:pPr>
                                  <w:r w:rsidRPr="004A7FCD">
                                    <w:rPr>
                                      <w:rFonts w:ascii="Times New Roman" w:eastAsia="Times New Roman" w:hAnsi="Times New Roman" w:cs="Times New Roman"/>
                                      <w:color w:val="0000FF"/>
                                      <w:sz w:val="21"/>
                                      <w:szCs w:val="21"/>
                                    </w:rPr>
                                    <w:t>65</w:t>
                                  </w:r>
                                </w:p>
                              </w:tc>
                            </w:tr>
                            <w:tr w:rsidR="004904C5" w14:paraId="1F258DC3" w14:textId="77777777" w:rsidTr="004F5EDC">
                              <w:tc>
                                <w:tcPr>
                                  <w:tcW w:w="1250" w:type="dxa"/>
                                  <w:vAlign w:val="center"/>
                                </w:tcPr>
                                <w:p w14:paraId="42614FF0" w14:textId="77777777" w:rsidR="004904C5" w:rsidRPr="004A7FCD" w:rsidRDefault="004904C5" w:rsidP="004A7FCD">
                                  <w:pPr>
                                    <w:spacing w:before="20" w:after="20"/>
                                    <w:jc w:val="right"/>
                                    <w:rPr>
                                      <w:rFonts w:ascii="Times New Roman" w:eastAsia="Times New Roman" w:hAnsi="Times New Roman" w:cs="Times New Roman"/>
                                      <w:color w:val="0000FF"/>
                                      <w:sz w:val="21"/>
                                      <w:szCs w:val="21"/>
                                    </w:rPr>
                                  </w:pPr>
                                  <w:r w:rsidRPr="004A7FCD">
                                    <w:rPr>
                                      <w:rFonts w:ascii="Times New Roman" w:eastAsia="Times New Roman" w:hAnsi="Times New Roman" w:cs="Times New Roman"/>
                                      <w:color w:val="0000FF"/>
                                      <w:sz w:val="21"/>
                                      <w:szCs w:val="21"/>
                                    </w:rPr>
                                    <w:t>800</w:t>
                                  </w:r>
                                </w:p>
                              </w:tc>
                              <w:tc>
                                <w:tcPr>
                                  <w:tcW w:w="1630" w:type="dxa"/>
                                  <w:vAlign w:val="center"/>
                                </w:tcPr>
                                <w:p w14:paraId="2A447412" w14:textId="77777777" w:rsidR="004904C5" w:rsidRPr="004A7FCD" w:rsidRDefault="004904C5" w:rsidP="004A7FCD">
                                  <w:pPr>
                                    <w:spacing w:before="20" w:after="20"/>
                                    <w:jc w:val="right"/>
                                    <w:rPr>
                                      <w:rFonts w:ascii="Times New Roman" w:eastAsia="Times New Roman" w:hAnsi="Times New Roman" w:cs="Times New Roman"/>
                                      <w:color w:val="0000FF"/>
                                      <w:sz w:val="21"/>
                                      <w:szCs w:val="21"/>
                                    </w:rPr>
                                  </w:pPr>
                                  <w:r w:rsidRPr="004A7FCD">
                                    <w:rPr>
                                      <w:rFonts w:ascii="Times New Roman" w:eastAsia="Times New Roman" w:hAnsi="Times New Roman" w:cs="Times New Roman"/>
                                      <w:color w:val="0000FF"/>
                                      <w:sz w:val="21"/>
                                      <w:szCs w:val="21"/>
                                    </w:rPr>
                                    <w:t>80</w:t>
                                  </w:r>
                                </w:p>
                              </w:tc>
                            </w:tr>
                            <w:tr w:rsidR="004904C5" w14:paraId="5BEFB7E4" w14:textId="77777777" w:rsidTr="004F5EDC">
                              <w:tc>
                                <w:tcPr>
                                  <w:tcW w:w="1250" w:type="dxa"/>
                                  <w:vAlign w:val="center"/>
                                </w:tcPr>
                                <w:p w14:paraId="7EBC46A8" w14:textId="77777777" w:rsidR="004904C5" w:rsidRPr="004A7FCD" w:rsidRDefault="004904C5" w:rsidP="004A7FCD">
                                  <w:pPr>
                                    <w:spacing w:before="20" w:after="20"/>
                                    <w:jc w:val="right"/>
                                    <w:rPr>
                                      <w:rFonts w:ascii="Times New Roman" w:eastAsia="Times New Roman" w:hAnsi="Times New Roman" w:cs="Times New Roman"/>
                                      <w:color w:val="0000FF"/>
                                      <w:sz w:val="21"/>
                                      <w:szCs w:val="21"/>
                                    </w:rPr>
                                  </w:pPr>
                                  <w:r w:rsidRPr="004A7FCD">
                                    <w:rPr>
                                      <w:rFonts w:ascii="Times New Roman" w:eastAsia="Times New Roman" w:hAnsi="Times New Roman" w:cs="Times New Roman"/>
                                      <w:color w:val="0000FF"/>
                                      <w:sz w:val="21"/>
                                      <w:szCs w:val="21"/>
                                    </w:rPr>
                                    <w:t>1,600</w:t>
                                  </w:r>
                                </w:p>
                              </w:tc>
                              <w:tc>
                                <w:tcPr>
                                  <w:tcW w:w="1630" w:type="dxa"/>
                                  <w:vAlign w:val="center"/>
                                </w:tcPr>
                                <w:p w14:paraId="17EF8C8D" w14:textId="77777777" w:rsidR="004904C5" w:rsidRPr="004A7FCD" w:rsidRDefault="004904C5" w:rsidP="004A7FCD">
                                  <w:pPr>
                                    <w:spacing w:before="20" w:after="20"/>
                                    <w:jc w:val="right"/>
                                    <w:rPr>
                                      <w:rFonts w:ascii="Times New Roman" w:eastAsia="Times New Roman" w:hAnsi="Times New Roman" w:cs="Times New Roman"/>
                                      <w:color w:val="0000FF"/>
                                      <w:sz w:val="21"/>
                                      <w:szCs w:val="21"/>
                                    </w:rPr>
                                  </w:pPr>
                                  <w:r w:rsidRPr="004A7FCD">
                                    <w:rPr>
                                      <w:rFonts w:ascii="Times New Roman" w:eastAsia="Times New Roman" w:hAnsi="Times New Roman" w:cs="Times New Roman"/>
                                      <w:color w:val="0000FF"/>
                                      <w:sz w:val="21"/>
                                      <w:szCs w:val="21"/>
                                    </w:rPr>
                                    <w:t>96</w:t>
                                  </w:r>
                                </w:p>
                              </w:tc>
                            </w:tr>
                            <w:tr w:rsidR="004904C5" w14:paraId="280E9A90" w14:textId="77777777" w:rsidTr="004F5EDC">
                              <w:tc>
                                <w:tcPr>
                                  <w:tcW w:w="1250" w:type="dxa"/>
                                  <w:vAlign w:val="center"/>
                                </w:tcPr>
                                <w:p w14:paraId="166E8849" w14:textId="77777777" w:rsidR="004904C5" w:rsidRPr="004A7FCD" w:rsidRDefault="004904C5" w:rsidP="004A7FCD">
                                  <w:pPr>
                                    <w:spacing w:before="20" w:after="20"/>
                                    <w:jc w:val="right"/>
                                    <w:rPr>
                                      <w:rFonts w:ascii="Times New Roman" w:eastAsia="Times New Roman" w:hAnsi="Times New Roman" w:cs="Times New Roman"/>
                                      <w:color w:val="0000FF"/>
                                      <w:sz w:val="21"/>
                                      <w:szCs w:val="21"/>
                                    </w:rPr>
                                  </w:pPr>
                                  <w:r w:rsidRPr="004A7FCD">
                                    <w:rPr>
                                      <w:rFonts w:ascii="Times New Roman" w:eastAsia="Times New Roman" w:hAnsi="Times New Roman" w:cs="Times New Roman"/>
                                      <w:color w:val="0000FF"/>
                                      <w:sz w:val="21"/>
                                      <w:szCs w:val="21"/>
                                    </w:rPr>
                                    <w:t>3,200</w:t>
                                  </w:r>
                                </w:p>
                              </w:tc>
                              <w:tc>
                                <w:tcPr>
                                  <w:tcW w:w="1630" w:type="dxa"/>
                                  <w:vAlign w:val="center"/>
                                </w:tcPr>
                                <w:p w14:paraId="296F25EC" w14:textId="77777777" w:rsidR="004904C5" w:rsidRPr="004A7FCD" w:rsidRDefault="004904C5" w:rsidP="004A7FCD">
                                  <w:pPr>
                                    <w:spacing w:before="20" w:after="20"/>
                                    <w:jc w:val="right"/>
                                    <w:rPr>
                                      <w:rFonts w:ascii="Times New Roman" w:eastAsia="Times New Roman" w:hAnsi="Times New Roman" w:cs="Times New Roman"/>
                                      <w:color w:val="0000FF"/>
                                      <w:sz w:val="21"/>
                                      <w:szCs w:val="21"/>
                                    </w:rPr>
                                  </w:pPr>
                                  <w:r w:rsidRPr="004A7FCD">
                                    <w:rPr>
                                      <w:rFonts w:ascii="Times New Roman" w:eastAsia="Times New Roman" w:hAnsi="Times New Roman" w:cs="Times New Roman"/>
                                      <w:color w:val="0000FF"/>
                                      <w:sz w:val="21"/>
                                      <w:szCs w:val="21"/>
                                    </w:rPr>
                                    <w:t>111</w:t>
                                  </w:r>
                                </w:p>
                              </w:tc>
                            </w:tr>
                            <w:tr w:rsidR="004904C5" w14:paraId="7E93C88D" w14:textId="77777777" w:rsidTr="004F5EDC">
                              <w:tc>
                                <w:tcPr>
                                  <w:tcW w:w="1250" w:type="dxa"/>
                                  <w:vAlign w:val="center"/>
                                </w:tcPr>
                                <w:p w14:paraId="534C5942" w14:textId="77777777" w:rsidR="004904C5" w:rsidRPr="004A7FCD" w:rsidRDefault="004904C5" w:rsidP="004A7FCD">
                                  <w:pPr>
                                    <w:spacing w:before="20" w:after="20"/>
                                    <w:jc w:val="right"/>
                                    <w:rPr>
                                      <w:rFonts w:ascii="Times New Roman" w:eastAsia="Times New Roman" w:hAnsi="Times New Roman" w:cs="Times New Roman"/>
                                      <w:color w:val="0000FF"/>
                                      <w:sz w:val="21"/>
                                      <w:szCs w:val="21"/>
                                    </w:rPr>
                                  </w:pPr>
                                  <w:r w:rsidRPr="004A7FCD">
                                    <w:rPr>
                                      <w:rFonts w:ascii="Times New Roman" w:eastAsia="Times New Roman" w:hAnsi="Times New Roman" w:cs="Times New Roman"/>
                                      <w:color w:val="0000FF"/>
                                      <w:sz w:val="21"/>
                                      <w:szCs w:val="21"/>
                                    </w:rPr>
                                    <w:t>6,400</w:t>
                                  </w:r>
                                </w:p>
                              </w:tc>
                              <w:tc>
                                <w:tcPr>
                                  <w:tcW w:w="1630" w:type="dxa"/>
                                  <w:vAlign w:val="center"/>
                                </w:tcPr>
                                <w:p w14:paraId="330915BD" w14:textId="77777777" w:rsidR="004904C5" w:rsidRPr="004A7FCD" w:rsidRDefault="004904C5" w:rsidP="004A7FCD">
                                  <w:pPr>
                                    <w:spacing w:before="20" w:after="20"/>
                                    <w:jc w:val="right"/>
                                    <w:rPr>
                                      <w:rFonts w:ascii="Times New Roman" w:eastAsia="Times New Roman" w:hAnsi="Times New Roman" w:cs="Times New Roman"/>
                                      <w:color w:val="0000FF"/>
                                      <w:sz w:val="21"/>
                                      <w:szCs w:val="21"/>
                                    </w:rPr>
                                  </w:pPr>
                                  <w:r w:rsidRPr="004A7FCD">
                                    <w:rPr>
                                      <w:rFonts w:ascii="Times New Roman" w:eastAsia="Times New Roman" w:hAnsi="Times New Roman" w:cs="Times New Roman"/>
                                      <w:color w:val="0000FF"/>
                                      <w:sz w:val="21"/>
                                      <w:szCs w:val="21"/>
                                    </w:rPr>
                                    <w:t>127</w:t>
                                  </w:r>
                                </w:p>
                              </w:tc>
                            </w:tr>
                            <w:tr w:rsidR="004904C5" w14:paraId="4E6F91B8" w14:textId="77777777" w:rsidTr="004F5EDC">
                              <w:tc>
                                <w:tcPr>
                                  <w:tcW w:w="1250" w:type="dxa"/>
                                  <w:vAlign w:val="center"/>
                                </w:tcPr>
                                <w:p w14:paraId="0681C1B6" w14:textId="77777777" w:rsidR="004904C5" w:rsidRPr="004A7FCD" w:rsidRDefault="004904C5" w:rsidP="004A7FCD">
                                  <w:pPr>
                                    <w:spacing w:before="20" w:after="20"/>
                                    <w:jc w:val="right"/>
                                    <w:rPr>
                                      <w:rFonts w:ascii="Times New Roman" w:eastAsia="Times New Roman" w:hAnsi="Times New Roman" w:cs="Times New Roman"/>
                                      <w:color w:val="0000FF"/>
                                      <w:sz w:val="21"/>
                                      <w:szCs w:val="21"/>
                                    </w:rPr>
                                  </w:pPr>
                                  <w:r w:rsidRPr="004A7FCD">
                                    <w:rPr>
                                      <w:rFonts w:ascii="Times New Roman" w:eastAsia="Times New Roman" w:hAnsi="Times New Roman" w:cs="Times New Roman"/>
                                      <w:color w:val="0000FF"/>
                                      <w:sz w:val="21"/>
                                      <w:szCs w:val="21"/>
                                    </w:rPr>
                                    <w:t>12,800</w:t>
                                  </w:r>
                                </w:p>
                              </w:tc>
                              <w:tc>
                                <w:tcPr>
                                  <w:tcW w:w="1630" w:type="dxa"/>
                                  <w:vAlign w:val="center"/>
                                </w:tcPr>
                                <w:p w14:paraId="3AF11997" w14:textId="77777777" w:rsidR="004904C5" w:rsidRPr="004A7FCD" w:rsidRDefault="004904C5" w:rsidP="004A7FCD">
                                  <w:pPr>
                                    <w:spacing w:before="20" w:after="20"/>
                                    <w:jc w:val="right"/>
                                    <w:rPr>
                                      <w:rFonts w:ascii="Times New Roman" w:eastAsia="Times New Roman" w:hAnsi="Times New Roman" w:cs="Times New Roman"/>
                                      <w:color w:val="0000FF"/>
                                      <w:sz w:val="21"/>
                                      <w:szCs w:val="21"/>
                                    </w:rPr>
                                  </w:pPr>
                                  <w:r w:rsidRPr="004A7FCD">
                                    <w:rPr>
                                      <w:rFonts w:ascii="Times New Roman" w:eastAsia="Times New Roman" w:hAnsi="Times New Roman" w:cs="Times New Roman"/>
                                      <w:color w:val="0000FF"/>
                                      <w:sz w:val="21"/>
                                      <w:szCs w:val="21"/>
                                    </w:rPr>
                                    <w:t>143</w:t>
                                  </w:r>
                                </w:p>
                              </w:tc>
                            </w:tr>
                            <w:tr w:rsidR="004904C5" w14:paraId="27608F8E" w14:textId="77777777" w:rsidTr="004F5EDC">
                              <w:tc>
                                <w:tcPr>
                                  <w:tcW w:w="1250" w:type="dxa"/>
                                  <w:vAlign w:val="center"/>
                                </w:tcPr>
                                <w:p w14:paraId="29360DD9" w14:textId="77777777" w:rsidR="004904C5" w:rsidRPr="004A7FCD" w:rsidRDefault="004904C5" w:rsidP="004A7FCD">
                                  <w:pPr>
                                    <w:spacing w:before="20" w:after="20"/>
                                    <w:jc w:val="right"/>
                                    <w:rPr>
                                      <w:rFonts w:ascii="Times New Roman" w:eastAsia="Times New Roman" w:hAnsi="Times New Roman" w:cs="Times New Roman"/>
                                      <w:color w:val="0000FF"/>
                                      <w:sz w:val="21"/>
                                      <w:szCs w:val="21"/>
                                    </w:rPr>
                                  </w:pPr>
                                  <w:r w:rsidRPr="004A7FCD">
                                    <w:rPr>
                                      <w:rFonts w:ascii="Times New Roman" w:eastAsia="Times New Roman" w:hAnsi="Times New Roman" w:cs="Times New Roman"/>
                                      <w:color w:val="0000FF"/>
                                      <w:sz w:val="21"/>
                                      <w:szCs w:val="21"/>
                                    </w:rPr>
                                    <w:t>25,600</w:t>
                                  </w:r>
                                </w:p>
                              </w:tc>
                              <w:tc>
                                <w:tcPr>
                                  <w:tcW w:w="1630" w:type="dxa"/>
                                  <w:vAlign w:val="center"/>
                                </w:tcPr>
                                <w:p w14:paraId="19BDF4AF" w14:textId="77777777" w:rsidR="004904C5" w:rsidRPr="004A7FCD" w:rsidRDefault="004904C5" w:rsidP="004A7FCD">
                                  <w:pPr>
                                    <w:spacing w:before="20" w:after="20"/>
                                    <w:jc w:val="right"/>
                                    <w:rPr>
                                      <w:rFonts w:ascii="Times New Roman" w:eastAsia="Times New Roman" w:hAnsi="Times New Roman" w:cs="Times New Roman"/>
                                      <w:color w:val="0000FF"/>
                                      <w:sz w:val="21"/>
                                      <w:szCs w:val="21"/>
                                    </w:rPr>
                                  </w:pPr>
                                  <w:r w:rsidRPr="004A7FCD">
                                    <w:rPr>
                                      <w:rFonts w:ascii="Times New Roman" w:eastAsia="Times New Roman" w:hAnsi="Times New Roman" w:cs="Times New Roman"/>
                                      <w:color w:val="0000FF"/>
                                      <w:sz w:val="21"/>
                                      <w:szCs w:val="21"/>
                                    </w:rPr>
                                    <w:t>158</w:t>
                                  </w:r>
                                </w:p>
                              </w:tc>
                            </w:tr>
                            <w:tr w:rsidR="004904C5" w14:paraId="7422F4CC" w14:textId="77777777" w:rsidTr="004F5EDC">
                              <w:tc>
                                <w:tcPr>
                                  <w:tcW w:w="1250" w:type="dxa"/>
                                  <w:vAlign w:val="center"/>
                                </w:tcPr>
                                <w:p w14:paraId="3E6FF3FB" w14:textId="77777777" w:rsidR="004904C5" w:rsidRPr="004A7FCD" w:rsidRDefault="004904C5" w:rsidP="004A7FCD">
                                  <w:pPr>
                                    <w:spacing w:before="20" w:after="20"/>
                                    <w:jc w:val="right"/>
                                    <w:rPr>
                                      <w:rFonts w:ascii="Times New Roman" w:eastAsia="Times New Roman" w:hAnsi="Times New Roman" w:cs="Times New Roman"/>
                                      <w:color w:val="0000FF"/>
                                      <w:sz w:val="21"/>
                                      <w:szCs w:val="21"/>
                                    </w:rPr>
                                  </w:pPr>
                                  <w:r w:rsidRPr="004A7FCD">
                                    <w:rPr>
                                      <w:rFonts w:ascii="Times New Roman" w:eastAsia="Times New Roman" w:hAnsi="Times New Roman" w:cs="Times New Roman"/>
                                      <w:color w:val="0000FF"/>
                                      <w:sz w:val="21"/>
                                      <w:szCs w:val="21"/>
                                    </w:rPr>
                                    <w:t>51,200</w:t>
                                  </w:r>
                                </w:p>
                              </w:tc>
                              <w:tc>
                                <w:tcPr>
                                  <w:tcW w:w="1630" w:type="dxa"/>
                                  <w:vAlign w:val="center"/>
                                </w:tcPr>
                                <w:p w14:paraId="67EFC344" w14:textId="77777777" w:rsidR="004904C5" w:rsidRPr="004A7FCD" w:rsidRDefault="004904C5" w:rsidP="004A7FCD">
                                  <w:pPr>
                                    <w:spacing w:before="20" w:after="20"/>
                                    <w:jc w:val="right"/>
                                    <w:rPr>
                                      <w:rFonts w:ascii="Times New Roman" w:eastAsia="Times New Roman" w:hAnsi="Times New Roman" w:cs="Times New Roman"/>
                                      <w:color w:val="0000FF"/>
                                      <w:sz w:val="21"/>
                                      <w:szCs w:val="21"/>
                                    </w:rPr>
                                  </w:pPr>
                                  <w:r w:rsidRPr="004A7FCD">
                                    <w:rPr>
                                      <w:rFonts w:ascii="Times New Roman" w:eastAsia="Times New Roman" w:hAnsi="Times New Roman" w:cs="Times New Roman"/>
                                      <w:color w:val="0000FF"/>
                                      <w:sz w:val="21"/>
                                      <w:szCs w:val="21"/>
                                    </w:rPr>
                                    <w:t>174</w:t>
                                  </w:r>
                                </w:p>
                              </w:tc>
                            </w:tr>
                            <w:tr w:rsidR="004904C5" w14:paraId="14409F60" w14:textId="77777777" w:rsidTr="004F5EDC">
                              <w:tc>
                                <w:tcPr>
                                  <w:tcW w:w="1250" w:type="dxa"/>
                                  <w:vAlign w:val="bottom"/>
                                </w:tcPr>
                                <w:p w14:paraId="7C1621EE" w14:textId="77777777" w:rsidR="004904C5" w:rsidRPr="004A7FCD" w:rsidRDefault="004904C5" w:rsidP="004A7FCD">
                                  <w:pPr>
                                    <w:spacing w:before="20" w:after="20"/>
                                    <w:jc w:val="right"/>
                                    <w:rPr>
                                      <w:rFonts w:ascii="Times New Roman" w:eastAsia="Times New Roman" w:hAnsi="Times New Roman" w:cs="Times New Roman"/>
                                      <w:color w:val="0000FF"/>
                                      <w:sz w:val="21"/>
                                      <w:szCs w:val="21"/>
                                    </w:rPr>
                                  </w:pPr>
                                  <w:r w:rsidRPr="004A7FCD">
                                    <w:rPr>
                                      <w:rFonts w:ascii="Times New Roman" w:eastAsia="Times New Roman" w:hAnsi="Times New Roman" w:cs="Times New Roman"/>
                                      <w:color w:val="0000FF"/>
                                      <w:sz w:val="21"/>
                                      <w:szCs w:val="21"/>
                                    </w:rPr>
                                    <w:t>102,400</w:t>
                                  </w:r>
                                </w:p>
                              </w:tc>
                              <w:tc>
                                <w:tcPr>
                                  <w:tcW w:w="1630" w:type="dxa"/>
                                  <w:vAlign w:val="bottom"/>
                                </w:tcPr>
                                <w:p w14:paraId="78208FFC" w14:textId="77777777" w:rsidR="004904C5" w:rsidRPr="004A7FCD" w:rsidRDefault="004904C5" w:rsidP="004A7FCD">
                                  <w:pPr>
                                    <w:spacing w:before="20" w:after="20"/>
                                    <w:jc w:val="right"/>
                                    <w:rPr>
                                      <w:rFonts w:ascii="Times New Roman" w:eastAsia="Times New Roman" w:hAnsi="Times New Roman" w:cs="Times New Roman"/>
                                      <w:color w:val="0000FF"/>
                                      <w:sz w:val="21"/>
                                      <w:szCs w:val="21"/>
                                    </w:rPr>
                                  </w:pPr>
                                  <w:r w:rsidRPr="004A7FCD">
                                    <w:rPr>
                                      <w:rFonts w:ascii="Times New Roman" w:eastAsia="Times New Roman" w:hAnsi="Times New Roman" w:cs="Times New Roman"/>
                                      <w:color w:val="0000FF"/>
                                      <w:sz w:val="21"/>
                                      <w:szCs w:val="21"/>
                                    </w:rPr>
                                    <w:t>190</w:t>
                                  </w:r>
                                </w:p>
                              </w:tc>
                            </w:tr>
                            <w:tr w:rsidR="004904C5" w14:paraId="53BB77FA" w14:textId="77777777" w:rsidTr="004F5EDC">
                              <w:tc>
                                <w:tcPr>
                                  <w:tcW w:w="1250" w:type="dxa"/>
                                  <w:vAlign w:val="bottom"/>
                                </w:tcPr>
                                <w:p w14:paraId="0E2EDDDA" w14:textId="77777777" w:rsidR="004904C5" w:rsidRPr="004A7FCD" w:rsidRDefault="004904C5" w:rsidP="004A7FCD">
                                  <w:pPr>
                                    <w:spacing w:before="20" w:after="20"/>
                                    <w:jc w:val="right"/>
                                    <w:rPr>
                                      <w:rFonts w:ascii="Times New Roman" w:eastAsia="Times New Roman" w:hAnsi="Times New Roman" w:cs="Times New Roman"/>
                                      <w:color w:val="0000FF"/>
                                      <w:sz w:val="21"/>
                                      <w:szCs w:val="21"/>
                                    </w:rPr>
                                  </w:pPr>
                                  <w:r w:rsidRPr="004A7FCD">
                                    <w:rPr>
                                      <w:rFonts w:ascii="Times New Roman" w:eastAsia="Times New Roman" w:hAnsi="Times New Roman" w:cs="Times New Roman"/>
                                      <w:color w:val="0000FF"/>
                                      <w:sz w:val="21"/>
                                      <w:szCs w:val="21"/>
                                    </w:rPr>
                                    <w:t>204,800</w:t>
                                  </w:r>
                                </w:p>
                              </w:tc>
                              <w:tc>
                                <w:tcPr>
                                  <w:tcW w:w="1630" w:type="dxa"/>
                                  <w:vAlign w:val="bottom"/>
                                </w:tcPr>
                                <w:p w14:paraId="37019B9C" w14:textId="77777777" w:rsidR="004904C5" w:rsidRPr="004A7FCD" w:rsidRDefault="004904C5" w:rsidP="004A7FCD">
                                  <w:pPr>
                                    <w:spacing w:before="20" w:after="20"/>
                                    <w:jc w:val="right"/>
                                    <w:rPr>
                                      <w:rFonts w:ascii="Times New Roman" w:eastAsia="Times New Roman" w:hAnsi="Times New Roman" w:cs="Times New Roman"/>
                                      <w:color w:val="0000FF"/>
                                      <w:sz w:val="21"/>
                                      <w:szCs w:val="21"/>
                                    </w:rPr>
                                  </w:pPr>
                                  <w:r w:rsidRPr="004A7FCD">
                                    <w:rPr>
                                      <w:rFonts w:ascii="Times New Roman" w:eastAsia="Times New Roman" w:hAnsi="Times New Roman" w:cs="Times New Roman"/>
                                      <w:color w:val="0000FF"/>
                                      <w:sz w:val="21"/>
                                      <w:szCs w:val="21"/>
                                    </w:rPr>
                                    <w:t>205</w:t>
                                  </w:r>
                                </w:p>
                              </w:tc>
                            </w:tr>
                            <w:tr w:rsidR="004904C5" w14:paraId="737CF3B5" w14:textId="77777777" w:rsidTr="004F5EDC">
                              <w:tc>
                                <w:tcPr>
                                  <w:tcW w:w="1250" w:type="dxa"/>
                                  <w:vAlign w:val="bottom"/>
                                </w:tcPr>
                                <w:p w14:paraId="59F69686" w14:textId="77777777" w:rsidR="004904C5" w:rsidRPr="004A7FCD" w:rsidRDefault="004904C5" w:rsidP="004A7FCD">
                                  <w:pPr>
                                    <w:spacing w:before="20" w:after="20"/>
                                    <w:jc w:val="right"/>
                                    <w:rPr>
                                      <w:rFonts w:ascii="Times New Roman" w:eastAsia="Times New Roman" w:hAnsi="Times New Roman" w:cs="Times New Roman"/>
                                      <w:color w:val="0000FF"/>
                                      <w:sz w:val="21"/>
                                      <w:szCs w:val="21"/>
                                    </w:rPr>
                                  </w:pPr>
                                  <w:r w:rsidRPr="004A7FCD">
                                    <w:rPr>
                                      <w:rFonts w:ascii="Times New Roman" w:eastAsia="Times New Roman" w:hAnsi="Times New Roman" w:cs="Times New Roman"/>
                                      <w:color w:val="0000FF"/>
                                      <w:sz w:val="21"/>
                                      <w:szCs w:val="21"/>
                                    </w:rPr>
                                    <w:t>409,600</w:t>
                                  </w:r>
                                </w:p>
                              </w:tc>
                              <w:tc>
                                <w:tcPr>
                                  <w:tcW w:w="1630" w:type="dxa"/>
                                  <w:vAlign w:val="bottom"/>
                                </w:tcPr>
                                <w:p w14:paraId="63F97150" w14:textId="77777777" w:rsidR="004904C5" w:rsidRPr="004A7FCD" w:rsidRDefault="004904C5" w:rsidP="004A7FCD">
                                  <w:pPr>
                                    <w:spacing w:before="20" w:after="20"/>
                                    <w:jc w:val="right"/>
                                    <w:rPr>
                                      <w:rFonts w:ascii="Times New Roman" w:eastAsia="Times New Roman" w:hAnsi="Times New Roman" w:cs="Times New Roman"/>
                                      <w:color w:val="0000FF"/>
                                      <w:sz w:val="21"/>
                                      <w:szCs w:val="21"/>
                                    </w:rPr>
                                  </w:pPr>
                                  <w:r w:rsidRPr="004A7FCD">
                                    <w:rPr>
                                      <w:rFonts w:ascii="Times New Roman" w:eastAsia="Times New Roman" w:hAnsi="Times New Roman" w:cs="Times New Roman"/>
                                      <w:color w:val="0000FF"/>
                                      <w:sz w:val="21"/>
                                      <w:szCs w:val="21"/>
                                    </w:rPr>
                                    <w:t>221</w:t>
                                  </w:r>
                                </w:p>
                              </w:tc>
                            </w:tr>
                          </w:tbl>
                          <w:p w14:paraId="1B9E6B4E" w14:textId="77777777" w:rsidR="004904C5" w:rsidRPr="00885C13" w:rsidRDefault="004904C5" w:rsidP="004904C5">
                            <w:pPr>
                              <w:spacing w:line="240" w:lineRule="auto"/>
                              <w:rPr>
                                <w:rFonts w:ascii="Times New Roman" w:eastAsia="Times New Roman" w:hAnsi="Times New Roman" w:cs="Times New Roman"/>
                                <w:color w:val="0000FF"/>
                                <w:sz w:val="21"/>
                                <w:szCs w:val="21"/>
                              </w:rPr>
                            </w:pPr>
                            <w:r w:rsidRPr="00885C13">
                              <w:rPr>
                                <w:rFonts w:ascii="Times New Roman" w:eastAsia="Times New Roman" w:hAnsi="Times New Roman" w:cs="Times New Roman"/>
                                <w:color w:val="0000FF"/>
                                <w:sz w:val="21"/>
                                <w:szCs w:val="21"/>
                              </w:rPr>
                              <w:t>Table 1, Average number third</w:t>
                            </w:r>
                            <w:r>
                              <w:rPr>
                                <w:rFonts w:ascii="Times New Roman" w:eastAsia="Times New Roman" w:hAnsi="Times New Roman" w:cs="Times New Roman"/>
                                <w:color w:val="0000FF"/>
                                <w:sz w:val="21"/>
                                <w:szCs w:val="21"/>
                              </w:rPr>
                              <w:t xml:space="preserve"> </w:t>
                            </w:r>
                            <w:r w:rsidRPr="00885C13">
                              <w:rPr>
                                <w:rFonts w:ascii="Times New Roman" w:eastAsia="Times New Roman" w:hAnsi="Times New Roman" w:cs="Times New Roman"/>
                                <w:color w:val="0000FF"/>
                                <w:sz w:val="21"/>
                                <w:szCs w:val="21"/>
                              </w:rPr>
                              <w:t>parties that could expose data, by company size. Data from VivoSecurity</w:t>
                            </w:r>
                            <w:r>
                              <w:rPr>
                                <w:rFonts w:ascii="Times New Roman" w:eastAsia="Times New Roman" w:hAnsi="Times New Roman" w:cs="Times New Roman"/>
                                <w:color w:val="0000FF"/>
                                <w:sz w:val="21"/>
                                <w:szCs w:val="21"/>
                              </w:rPr>
                              <w:t>,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343C0A" id="_x0000_t202" coordsize="21600,21600" o:spt="202" path="m,l,21600r21600,l21600,xe">
                <v:stroke joinstyle="miter"/>
                <v:path gradientshapeok="t" o:connecttype="rect"/>
              </v:shapetype>
              <v:shape id="Text Box 2" o:spid="_x0000_s1026" type="#_x0000_t202" style="position:absolute;left:0;text-align:left;margin-left:308pt;margin-top:-1.6pt;width:159.5pt;height:27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" fillcolor="white [3201]" stroked="f" strokeweight=".5pt">
                <v:textbox>
                  <w:txbxContent>
                    <w:tbl>
                      <w:tblPr>
                        <w:tblStyle w:val="TableGrid"/>
                        <w:tblW w:w="0" w:type="auto"/>
                        <w:tblInd w:w="-5" w:type="dxa"/>
                        <w:tblLook w:val="04A0" w:firstRow="1" w:lastRow="0" w:firstColumn="1" w:lastColumn="0" w:noHBand="0" w:noVBand="1"/>
                      </w:tblPr>
                      <w:tblGrid>
                        <w:gridCol w:w="1250"/>
                        <w:gridCol w:w="1630"/>
                      </w:tblGrid>
                      <w:tr w:rsidR="004904C5" w14:paraId="72FEF63A" w14:textId="77777777" w:rsidTr="004F5EDC">
                        <w:tc>
                          <w:tcPr>
                            <w:tcW w:w="1250" w:type="dxa"/>
                            <w:vAlign w:val="center"/>
                          </w:tcPr>
                          <w:p w14:paraId="1C695DE5" w14:textId="77777777" w:rsidR="004904C5" w:rsidRPr="004A7FCD" w:rsidRDefault="004904C5" w:rsidP="004A7FCD">
                            <w:pPr>
                              <w:spacing w:before="20" w:after="20"/>
                              <w:jc w:val="right"/>
                              <w:rPr>
                                <w:sz w:val="22"/>
                                <w:szCs w:val="22"/>
                                <w:lang w:val="en-US"/>
                              </w:rPr>
                            </w:pPr>
                            <w:r w:rsidRPr="004A7FCD">
                              <w:rPr>
                                <w:rFonts w:ascii="Times New Roman" w:eastAsia="Times New Roman" w:hAnsi="Times New Roman" w:cs="Times New Roman"/>
                                <w:b/>
                                <w:bCs/>
                                <w:color w:val="0000FF"/>
                                <w:sz w:val="22"/>
                                <w:szCs w:val="22"/>
                              </w:rPr>
                              <w:t>Employees</w:t>
                            </w:r>
                          </w:p>
                        </w:tc>
                        <w:tc>
                          <w:tcPr>
                            <w:tcW w:w="1630" w:type="dxa"/>
                            <w:vAlign w:val="center"/>
                          </w:tcPr>
                          <w:p w14:paraId="1143D995" w14:textId="77777777" w:rsidR="004904C5" w:rsidRPr="004A7FCD" w:rsidRDefault="004904C5" w:rsidP="004A7FCD">
                            <w:pPr>
                              <w:spacing w:before="20" w:after="20"/>
                              <w:jc w:val="right"/>
                              <w:rPr>
                                <w:sz w:val="22"/>
                                <w:szCs w:val="22"/>
                                <w:lang w:val="en-US"/>
                              </w:rPr>
                            </w:pPr>
                            <w:r w:rsidRPr="004A7FCD">
                              <w:rPr>
                                <w:rFonts w:ascii="Times New Roman" w:eastAsia="Times New Roman" w:hAnsi="Times New Roman" w:cs="Times New Roman"/>
                                <w:b/>
                                <w:bCs/>
                                <w:color w:val="0000FF"/>
                                <w:sz w:val="22"/>
                                <w:szCs w:val="22"/>
                              </w:rPr>
                              <w:t>Mean Vendors</w:t>
                            </w:r>
                          </w:p>
                        </w:tc>
                      </w:tr>
                      <w:tr w:rsidR="004904C5" w14:paraId="3134C7FA" w14:textId="77777777" w:rsidTr="004F5EDC">
                        <w:tc>
                          <w:tcPr>
                            <w:tcW w:w="1250" w:type="dxa"/>
                            <w:vAlign w:val="center"/>
                          </w:tcPr>
                          <w:p w14:paraId="3A390BC0" w14:textId="77777777" w:rsidR="004904C5" w:rsidRPr="004A7FCD" w:rsidRDefault="004904C5" w:rsidP="004A7FCD">
                            <w:pPr>
                              <w:spacing w:before="20" w:after="20"/>
                              <w:jc w:val="right"/>
                              <w:rPr>
                                <w:sz w:val="21"/>
                                <w:szCs w:val="21"/>
                                <w:lang w:val="en-US"/>
                              </w:rPr>
                            </w:pPr>
                            <w:r w:rsidRPr="004A7FCD">
                              <w:rPr>
                                <w:rFonts w:ascii="Times New Roman" w:eastAsia="Times New Roman" w:hAnsi="Times New Roman" w:cs="Times New Roman"/>
                                <w:color w:val="0000FF"/>
                                <w:sz w:val="21"/>
                                <w:szCs w:val="21"/>
                              </w:rPr>
                              <w:t>50</w:t>
                            </w:r>
                          </w:p>
                        </w:tc>
                        <w:tc>
                          <w:tcPr>
                            <w:tcW w:w="1630" w:type="dxa"/>
                            <w:vAlign w:val="center"/>
                          </w:tcPr>
                          <w:p w14:paraId="3984A82E" w14:textId="77777777" w:rsidR="004904C5" w:rsidRPr="004A7FCD" w:rsidRDefault="004904C5" w:rsidP="004A7FCD">
                            <w:pPr>
                              <w:spacing w:before="20" w:after="20"/>
                              <w:jc w:val="right"/>
                              <w:rPr>
                                <w:sz w:val="21"/>
                                <w:szCs w:val="21"/>
                                <w:lang w:val="en-US"/>
                              </w:rPr>
                            </w:pPr>
                            <w:r w:rsidRPr="004A7FCD">
                              <w:rPr>
                                <w:rFonts w:ascii="Times New Roman" w:eastAsia="Times New Roman" w:hAnsi="Times New Roman" w:cs="Times New Roman"/>
                                <w:color w:val="0000FF"/>
                                <w:sz w:val="21"/>
                                <w:szCs w:val="21"/>
                              </w:rPr>
                              <w:t>18</w:t>
                            </w:r>
                          </w:p>
                        </w:tc>
                      </w:tr>
                      <w:tr w:rsidR="004904C5" w14:paraId="08343836" w14:textId="77777777" w:rsidTr="004F5EDC">
                        <w:tc>
                          <w:tcPr>
                            <w:tcW w:w="1250" w:type="dxa"/>
                            <w:vAlign w:val="center"/>
                          </w:tcPr>
                          <w:p w14:paraId="50E87E70" w14:textId="77777777" w:rsidR="004904C5" w:rsidRPr="004A7FCD" w:rsidRDefault="004904C5" w:rsidP="004A7FCD">
                            <w:pPr>
                              <w:spacing w:before="20" w:after="20"/>
                              <w:jc w:val="right"/>
                              <w:rPr>
                                <w:rFonts w:ascii="Times New Roman" w:eastAsia="Times New Roman" w:hAnsi="Times New Roman" w:cs="Times New Roman"/>
                                <w:color w:val="0000FF"/>
                                <w:sz w:val="21"/>
                                <w:szCs w:val="21"/>
                              </w:rPr>
                            </w:pPr>
                            <w:r w:rsidRPr="004A7FCD">
                              <w:rPr>
                                <w:rFonts w:ascii="Times New Roman" w:eastAsia="Times New Roman" w:hAnsi="Times New Roman" w:cs="Times New Roman"/>
                                <w:color w:val="0000FF"/>
                                <w:sz w:val="21"/>
                                <w:szCs w:val="21"/>
                              </w:rPr>
                              <w:t>100</w:t>
                            </w:r>
                          </w:p>
                        </w:tc>
                        <w:tc>
                          <w:tcPr>
                            <w:tcW w:w="1630" w:type="dxa"/>
                            <w:vAlign w:val="center"/>
                          </w:tcPr>
                          <w:p w14:paraId="02476682" w14:textId="77777777" w:rsidR="004904C5" w:rsidRPr="004A7FCD" w:rsidRDefault="004904C5" w:rsidP="004A7FCD">
                            <w:pPr>
                              <w:spacing w:before="20" w:after="20"/>
                              <w:jc w:val="right"/>
                              <w:rPr>
                                <w:rFonts w:ascii="Times New Roman" w:eastAsia="Times New Roman" w:hAnsi="Times New Roman" w:cs="Times New Roman"/>
                                <w:color w:val="0000FF"/>
                                <w:sz w:val="21"/>
                                <w:szCs w:val="21"/>
                              </w:rPr>
                            </w:pPr>
                            <w:r w:rsidRPr="004A7FCD">
                              <w:rPr>
                                <w:rFonts w:ascii="Times New Roman" w:eastAsia="Times New Roman" w:hAnsi="Times New Roman" w:cs="Times New Roman"/>
                                <w:color w:val="0000FF"/>
                                <w:sz w:val="21"/>
                                <w:szCs w:val="21"/>
                              </w:rPr>
                              <w:t>33</w:t>
                            </w:r>
                          </w:p>
                        </w:tc>
                      </w:tr>
                      <w:tr w:rsidR="004904C5" w14:paraId="048A5B3D" w14:textId="77777777" w:rsidTr="004F5EDC">
                        <w:tc>
                          <w:tcPr>
                            <w:tcW w:w="1250" w:type="dxa"/>
                            <w:vAlign w:val="center"/>
                          </w:tcPr>
                          <w:p w14:paraId="565D1ED3" w14:textId="77777777" w:rsidR="004904C5" w:rsidRPr="004A7FCD" w:rsidRDefault="004904C5" w:rsidP="004A7FCD">
                            <w:pPr>
                              <w:spacing w:before="20" w:after="20"/>
                              <w:jc w:val="right"/>
                              <w:rPr>
                                <w:rFonts w:ascii="Times New Roman" w:eastAsia="Times New Roman" w:hAnsi="Times New Roman" w:cs="Times New Roman"/>
                                <w:color w:val="0000FF"/>
                                <w:sz w:val="21"/>
                                <w:szCs w:val="21"/>
                              </w:rPr>
                            </w:pPr>
                            <w:r w:rsidRPr="004A7FCD">
                              <w:rPr>
                                <w:rFonts w:ascii="Times New Roman" w:eastAsia="Times New Roman" w:hAnsi="Times New Roman" w:cs="Times New Roman"/>
                                <w:color w:val="0000FF"/>
                                <w:sz w:val="21"/>
                                <w:szCs w:val="21"/>
                              </w:rPr>
                              <w:t>200</w:t>
                            </w:r>
                          </w:p>
                        </w:tc>
                        <w:tc>
                          <w:tcPr>
                            <w:tcW w:w="1630" w:type="dxa"/>
                            <w:vAlign w:val="center"/>
                          </w:tcPr>
                          <w:p w14:paraId="4D745FC1" w14:textId="77777777" w:rsidR="004904C5" w:rsidRPr="004A7FCD" w:rsidRDefault="004904C5" w:rsidP="004A7FCD">
                            <w:pPr>
                              <w:spacing w:before="20" w:after="20"/>
                              <w:jc w:val="right"/>
                              <w:rPr>
                                <w:rFonts w:ascii="Times New Roman" w:eastAsia="Times New Roman" w:hAnsi="Times New Roman" w:cs="Times New Roman"/>
                                <w:color w:val="0000FF"/>
                                <w:sz w:val="21"/>
                                <w:szCs w:val="21"/>
                              </w:rPr>
                            </w:pPr>
                            <w:r w:rsidRPr="004A7FCD">
                              <w:rPr>
                                <w:rFonts w:ascii="Times New Roman" w:eastAsia="Times New Roman" w:hAnsi="Times New Roman" w:cs="Times New Roman"/>
                                <w:color w:val="0000FF"/>
                                <w:sz w:val="21"/>
                                <w:szCs w:val="21"/>
                              </w:rPr>
                              <w:t>49</w:t>
                            </w:r>
                          </w:p>
                        </w:tc>
                      </w:tr>
                      <w:tr w:rsidR="004904C5" w14:paraId="2BB7B9D8" w14:textId="77777777" w:rsidTr="004F5EDC">
                        <w:tc>
                          <w:tcPr>
                            <w:tcW w:w="1250" w:type="dxa"/>
                            <w:vAlign w:val="center"/>
                          </w:tcPr>
                          <w:p w14:paraId="4ADAEAC2" w14:textId="77777777" w:rsidR="004904C5" w:rsidRPr="004A7FCD" w:rsidRDefault="004904C5" w:rsidP="004A7FCD">
                            <w:pPr>
                              <w:spacing w:before="20" w:after="20"/>
                              <w:jc w:val="right"/>
                              <w:rPr>
                                <w:rFonts w:ascii="Times New Roman" w:eastAsia="Times New Roman" w:hAnsi="Times New Roman" w:cs="Times New Roman"/>
                                <w:color w:val="0000FF"/>
                                <w:sz w:val="21"/>
                                <w:szCs w:val="21"/>
                              </w:rPr>
                            </w:pPr>
                            <w:r w:rsidRPr="004A7FCD">
                              <w:rPr>
                                <w:rFonts w:ascii="Times New Roman" w:eastAsia="Times New Roman" w:hAnsi="Times New Roman" w:cs="Times New Roman"/>
                                <w:color w:val="0000FF"/>
                                <w:sz w:val="21"/>
                                <w:szCs w:val="21"/>
                              </w:rPr>
                              <w:t>400</w:t>
                            </w:r>
                          </w:p>
                        </w:tc>
                        <w:tc>
                          <w:tcPr>
                            <w:tcW w:w="1630" w:type="dxa"/>
                            <w:vAlign w:val="center"/>
                          </w:tcPr>
                          <w:p w14:paraId="4B6CE5C6" w14:textId="77777777" w:rsidR="004904C5" w:rsidRPr="004A7FCD" w:rsidRDefault="004904C5" w:rsidP="004A7FCD">
                            <w:pPr>
                              <w:spacing w:before="20" w:after="20"/>
                              <w:jc w:val="right"/>
                              <w:rPr>
                                <w:rFonts w:ascii="Times New Roman" w:eastAsia="Times New Roman" w:hAnsi="Times New Roman" w:cs="Times New Roman"/>
                                <w:color w:val="0000FF"/>
                                <w:sz w:val="21"/>
                                <w:szCs w:val="21"/>
                              </w:rPr>
                            </w:pPr>
                            <w:r w:rsidRPr="004A7FCD">
                              <w:rPr>
                                <w:rFonts w:ascii="Times New Roman" w:eastAsia="Times New Roman" w:hAnsi="Times New Roman" w:cs="Times New Roman"/>
                                <w:color w:val="0000FF"/>
                                <w:sz w:val="21"/>
                                <w:szCs w:val="21"/>
                              </w:rPr>
                              <w:t>65</w:t>
                            </w:r>
                          </w:p>
                        </w:tc>
                      </w:tr>
                      <w:tr w:rsidR="004904C5" w14:paraId="1F258DC3" w14:textId="77777777" w:rsidTr="004F5EDC">
                        <w:tc>
                          <w:tcPr>
                            <w:tcW w:w="1250" w:type="dxa"/>
                            <w:vAlign w:val="center"/>
                          </w:tcPr>
                          <w:p w14:paraId="42614FF0" w14:textId="77777777" w:rsidR="004904C5" w:rsidRPr="004A7FCD" w:rsidRDefault="004904C5" w:rsidP="004A7FCD">
                            <w:pPr>
                              <w:spacing w:before="20" w:after="20"/>
                              <w:jc w:val="right"/>
                              <w:rPr>
                                <w:rFonts w:ascii="Times New Roman" w:eastAsia="Times New Roman" w:hAnsi="Times New Roman" w:cs="Times New Roman"/>
                                <w:color w:val="0000FF"/>
                                <w:sz w:val="21"/>
                                <w:szCs w:val="21"/>
                              </w:rPr>
                            </w:pPr>
                            <w:r w:rsidRPr="004A7FCD">
                              <w:rPr>
                                <w:rFonts w:ascii="Times New Roman" w:eastAsia="Times New Roman" w:hAnsi="Times New Roman" w:cs="Times New Roman"/>
                                <w:color w:val="0000FF"/>
                                <w:sz w:val="21"/>
                                <w:szCs w:val="21"/>
                              </w:rPr>
                              <w:t>800</w:t>
                            </w:r>
                          </w:p>
                        </w:tc>
                        <w:tc>
                          <w:tcPr>
                            <w:tcW w:w="1630" w:type="dxa"/>
                            <w:vAlign w:val="center"/>
                          </w:tcPr>
                          <w:p w14:paraId="2A447412" w14:textId="77777777" w:rsidR="004904C5" w:rsidRPr="004A7FCD" w:rsidRDefault="004904C5" w:rsidP="004A7FCD">
                            <w:pPr>
                              <w:spacing w:before="20" w:after="20"/>
                              <w:jc w:val="right"/>
                              <w:rPr>
                                <w:rFonts w:ascii="Times New Roman" w:eastAsia="Times New Roman" w:hAnsi="Times New Roman" w:cs="Times New Roman"/>
                                <w:color w:val="0000FF"/>
                                <w:sz w:val="21"/>
                                <w:szCs w:val="21"/>
                              </w:rPr>
                            </w:pPr>
                            <w:r w:rsidRPr="004A7FCD">
                              <w:rPr>
                                <w:rFonts w:ascii="Times New Roman" w:eastAsia="Times New Roman" w:hAnsi="Times New Roman" w:cs="Times New Roman"/>
                                <w:color w:val="0000FF"/>
                                <w:sz w:val="21"/>
                                <w:szCs w:val="21"/>
                              </w:rPr>
                              <w:t>80</w:t>
                            </w:r>
                          </w:p>
                        </w:tc>
                      </w:tr>
                      <w:tr w:rsidR="004904C5" w14:paraId="5BEFB7E4" w14:textId="77777777" w:rsidTr="004F5EDC">
                        <w:tc>
                          <w:tcPr>
                            <w:tcW w:w="1250" w:type="dxa"/>
                            <w:vAlign w:val="center"/>
                          </w:tcPr>
                          <w:p w14:paraId="7EBC46A8" w14:textId="77777777" w:rsidR="004904C5" w:rsidRPr="004A7FCD" w:rsidRDefault="004904C5" w:rsidP="004A7FCD">
                            <w:pPr>
                              <w:spacing w:before="20" w:after="20"/>
                              <w:jc w:val="right"/>
                              <w:rPr>
                                <w:rFonts w:ascii="Times New Roman" w:eastAsia="Times New Roman" w:hAnsi="Times New Roman" w:cs="Times New Roman"/>
                                <w:color w:val="0000FF"/>
                                <w:sz w:val="21"/>
                                <w:szCs w:val="21"/>
                              </w:rPr>
                            </w:pPr>
                            <w:r w:rsidRPr="004A7FCD">
                              <w:rPr>
                                <w:rFonts w:ascii="Times New Roman" w:eastAsia="Times New Roman" w:hAnsi="Times New Roman" w:cs="Times New Roman"/>
                                <w:color w:val="0000FF"/>
                                <w:sz w:val="21"/>
                                <w:szCs w:val="21"/>
                              </w:rPr>
                              <w:t>1,600</w:t>
                            </w:r>
                          </w:p>
                        </w:tc>
                        <w:tc>
                          <w:tcPr>
                            <w:tcW w:w="1630" w:type="dxa"/>
                            <w:vAlign w:val="center"/>
                          </w:tcPr>
                          <w:p w14:paraId="17EF8C8D" w14:textId="77777777" w:rsidR="004904C5" w:rsidRPr="004A7FCD" w:rsidRDefault="004904C5" w:rsidP="004A7FCD">
                            <w:pPr>
                              <w:spacing w:before="20" w:after="20"/>
                              <w:jc w:val="right"/>
                              <w:rPr>
                                <w:rFonts w:ascii="Times New Roman" w:eastAsia="Times New Roman" w:hAnsi="Times New Roman" w:cs="Times New Roman"/>
                                <w:color w:val="0000FF"/>
                                <w:sz w:val="21"/>
                                <w:szCs w:val="21"/>
                              </w:rPr>
                            </w:pPr>
                            <w:r w:rsidRPr="004A7FCD">
                              <w:rPr>
                                <w:rFonts w:ascii="Times New Roman" w:eastAsia="Times New Roman" w:hAnsi="Times New Roman" w:cs="Times New Roman"/>
                                <w:color w:val="0000FF"/>
                                <w:sz w:val="21"/>
                                <w:szCs w:val="21"/>
                              </w:rPr>
                              <w:t>96</w:t>
                            </w:r>
                          </w:p>
                        </w:tc>
                      </w:tr>
                      <w:tr w:rsidR="004904C5" w14:paraId="280E9A90" w14:textId="77777777" w:rsidTr="004F5EDC">
                        <w:tc>
                          <w:tcPr>
                            <w:tcW w:w="1250" w:type="dxa"/>
                            <w:vAlign w:val="center"/>
                          </w:tcPr>
                          <w:p w14:paraId="166E8849" w14:textId="77777777" w:rsidR="004904C5" w:rsidRPr="004A7FCD" w:rsidRDefault="004904C5" w:rsidP="004A7FCD">
                            <w:pPr>
                              <w:spacing w:before="20" w:after="20"/>
                              <w:jc w:val="right"/>
                              <w:rPr>
                                <w:rFonts w:ascii="Times New Roman" w:eastAsia="Times New Roman" w:hAnsi="Times New Roman" w:cs="Times New Roman"/>
                                <w:color w:val="0000FF"/>
                                <w:sz w:val="21"/>
                                <w:szCs w:val="21"/>
                              </w:rPr>
                            </w:pPr>
                            <w:r w:rsidRPr="004A7FCD">
                              <w:rPr>
                                <w:rFonts w:ascii="Times New Roman" w:eastAsia="Times New Roman" w:hAnsi="Times New Roman" w:cs="Times New Roman"/>
                                <w:color w:val="0000FF"/>
                                <w:sz w:val="21"/>
                                <w:szCs w:val="21"/>
                              </w:rPr>
                              <w:t>3,200</w:t>
                            </w:r>
                          </w:p>
                        </w:tc>
                        <w:tc>
                          <w:tcPr>
                            <w:tcW w:w="1630" w:type="dxa"/>
                            <w:vAlign w:val="center"/>
                          </w:tcPr>
                          <w:p w14:paraId="296F25EC" w14:textId="77777777" w:rsidR="004904C5" w:rsidRPr="004A7FCD" w:rsidRDefault="004904C5" w:rsidP="004A7FCD">
                            <w:pPr>
                              <w:spacing w:before="20" w:after="20"/>
                              <w:jc w:val="right"/>
                              <w:rPr>
                                <w:rFonts w:ascii="Times New Roman" w:eastAsia="Times New Roman" w:hAnsi="Times New Roman" w:cs="Times New Roman"/>
                                <w:color w:val="0000FF"/>
                                <w:sz w:val="21"/>
                                <w:szCs w:val="21"/>
                              </w:rPr>
                            </w:pPr>
                            <w:r w:rsidRPr="004A7FCD">
                              <w:rPr>
                                <w:rFonts w:ascii="Times New Roman" w:eastAsia="Times New Roman" w:hAnsi="Times New Roman" w:cs="Times New Roman"/>
                                <w:color w:val="0000FF"/>
                                <w:sz w:val="21"/>
                                <w:szCs w:val="21"/>
                              </w:rPr>
                              <w:t>111</w:t>
                            </w:r>
                          </w:p>
                        </w:tc>
                      </w:tr>
                      <w:tr w:rsidR="004904C5" w14:paraId="7E93C88D" w14:textId="77777777" w:rsidTr="004F5EDC">
                        <w:tc>
                          <w:tcPr>
                            <w:tcW w:w="1250" w:type="dxa"/>
                            <w:vAlign w:val="center"/>
                          </w:tcPr>
                          <w:p w14:paraId="534C5942" w14:textId="77777777" w:rsidR="004904C5" w:rsidRPr="004A7FCD" w:rsidRDefault="004904C5" w:rsidP="004A7FCD">
                            <w:pPr>
                              <w:spacing w:before="20" w:after="20"/>
                              <w:jc w:val="right"/>
                              <w:rPr>
                                <w:rFonts w:ascii="Times New Roman" w:eastAsia="Times New Roman" w:hAnsi="Times New Roman" w:cs="Times New Roman"/>
                                <w:color w:val="0000FF"/>
                                <w:sz w:val="21"/>
                                <w:szCs w:val="21"/>
                              </w:rPr>
                            </w:pPr>
                            <w:r w:rsidRPr="004A7FCD">
                              <w:rPr>
                                <w:rFonts w:ascii="Times New Roman" w:eastAsia="Times New Roman" w:hAnsi="Times New Roman" w:cs="Times New Roman"/>
                                <w:color w:val="0000FF"/>
                                <w:sz w:val="21"/>
                                <w:szCs w:val="21"/>
                              </w:rPr>
                              <w:t>6,400</w:t>
                            </w:r>
                          </w:p>
                        </w:tc>
                        <w:tc>
                          <w:tcPr>
                            <w:tcW w:w="1630" w:type="dxa"/>
                            <w:vAlign w:val="center"/>
                          </w:tcPr>
                          <w:p w14:paraId="330915BD" w14:textId="77777777" w:rsidR="004904C5" w:rsidRPr="004A7FCD" w:rsidRDefault="004904C5" w:rsidP="004A7FCD">
                            <w:pPr>
                              <w:spacing w:before="20" w:after="20"/>
                              <w:jc w:val="right"/>
                              <w:rPr>
                                <w:rFonts w:ascii="Times New Roman" w:eastAsia="Times New Roman" w:hAnsi="Times New Roman" w:cs="Times New Roman"/>
                                <w:color w:val="0000FF"/>
                                <w:sz w:val="21"/>
                                <w:szCs w:val="21"/>
                              </w:rPr>
                            </w:pPr>
                            <w:r w:rsidRPr="004A7FCD">
                              <w:rPr>
                                <w:rFonts w:ascii="Times New Roman" w:eastAsia="Times New Roman" w:hAnsi="Times New Roman" w:cs="Times New Roman"/>
                                <w:color w:val="0000FF"/>
                                <w:sz w:val="21"/>
                                <w:szCs w:val="21"/>
                              </w:rPr>
                              <w:t>127</w:t>
                            </w:r>
                          </w:p>
                        </w:tc>
                      </w:tr>
                      <w:tr w:rsidR="004904C5" w14:paraId="4E6F91B8" w14:textId="77777777" w:rsidTr="004F5EDC">
                        <w:tc>
                          <w:tcPr>
                            <w:tcW w:w="1250" w:type="dxa"/>
                            <w:vAlign w:val="center"/>
                          </w:tcPr>
                          <w:p w14:paraId="0681C1B6" w14:textId="77777777" w:rsidR="004904C5" w:rsidRPr="004A7FCD" w:rsidRDefault="004904C5" w:rsidP="004A7FCD">
                            <w:pPr>
                              <w:spacing w:before="20" w:after="20"/>
                              <w:jc w:val="right"/>
                              <w:rPr>
                                <w:rFonts w:ascii="Times New Roman" w:eastAsia="Times New Roman" w:hAnsi="Times New Roman" w:cs="Times New Roman"/>
                                <w:color w:val="0000FF"/>
                                <w:sz w:val="21"/>
                                <w:szCs w:val="21"/>
                              </w:rPr>
                            </w:pPr>
                            <w:r w:rsidRPr="004A7FCD">
                              <w:rPr>
                                <w:rFonts w:ascii="Times New Roman" w:eastAsia="Times New Roman" w:hAnsi="Times New Roman" w:cs="Times New Roman"/>
                                <w:color w:val="0000FF"/>
                                <w:sz w:val="21"/>
                                <w:szCs w:val="21"/>
                              </w:rPr>
                              <w:t>12,800</w:t>
                            </w:r>
                          </w:p>
                        </w:tc>
                        <w:tc>
                          <w:tcPr>
                            <w:tcW w:w="1630" w:type="dxa"/>
                            <w:vAlign w:val="center"/>
                          </w:tcPr>
                          <w:p w14:paraId="3AF11997" w14:textId="77777777" w:rsidR="004904C5" w:rsidRPr="004A7FCD" w:rsidRDefault="004904C5" w:rsidP="004A7FCD">
                            <w:pPr>
                              <w:spacing w:before="20" w:after="20"/>
                              <w:jc w:val="right"/>
                              <w:rPr>
                                <w:rFonts w:ascii="Times New Roman" w:eastAsia="Times New Roman" w:hAnsi="Times New Roman" w:cs="Times New Roman"/>
                                <w:color w:val="0000FF"/>
                                <w:sz w:val="21"/>
                                <w:szCs w:val="21"/>
                              </w:rPr>
                            </w:pPr>
                            <w:r w:rsidRPr="004A7FCD">
                              <w:rPr>
                                <w:rFonts w:ascii="Times New Roman" w:eastAsia="Times New Roman" w:hAnsi="Times New Roman" w:cs="Times New Roman"/>
                                <w:color w:val="0000FF"/>
                                <w:sz w:val="21"/>
                                <w:szCs w:val="21"/>
                              </w:rPr>
                              <w:t>143</w:t>
                            </w:r>
                          </w:p>
                        </w:tc>
                      </w:tr>
                      <w:tr w:rsidR="004904C5" w14:paraId="27608F8E" w14:textId="77777777" w:rsidTr="004F5EDC">
                        <w:tc>
                          <w:tcPr>
                            <w:tcW w:w="1250" w:type="dxa"/>
                            <w:vAlign w:val="center"/>
                          </w:tcPr>
                          <w:p w14:paraId="29360DD9" w14:textId="77777777" w:rsidR="004904C5" w:rsidRPr="004A7FCD" w:rsidRDefault="004904C5" w:rsidP="004A7FCD">
                            <w:pPr>
                              <w:spacing w:before="20" w:after="20"/>
                              <w:jc w:val="right"/>
                              <w:rPr>
                                <w:rFonts w:ascii="Times New Roman" w:eastAsia="Times New Roman" w:hAnsi="Times New Roman" w:cs="Times New Roman"/>
                                <w:color w:val="0000FF"/>
                                <w:sz w:val="21"/>
                                <w:szCs w:val="21"/>
                              </w:rPr>
                            </w:pPr>
                            <w:r w:rsidRPr="004A7FCD">
                              <w:rPr>
                                <w:rFonts w:ascii="Times New Roman" w:eastAsia="Times New Roman" w:hAnsi="Times New Roman" w:cs="Times New Roman"/>
                                <w:color w:val="0000FF"/>
                                <w:sz w:val="21"/>
                                <w:szCs w:val="21"/>
                              </w:rPr>
                              <w:t>25,600</w:t>
                            </w:r>
                          </w:p>
                        </w:tc>
                        <w:tc>
                          <w:tcPr>
                            <w:tcW w:w="1630" w:type="dxa"/>
                            <w:vAlign w:val="center"/>
                          </w:tcPr>
                          <w:p w14:paraId="19BDF4AF" w14:textId="77777777" w:rsidR="004904C5" w:rsidRPr="004A7FCD" w:rsidRDefault="004904C5" w:rsidP="004A7FCD">
                            <w:pPr>
                              <w:spacing w:before="20" w:after="20"/>
                              <w:jc w:val="right"/>
                              <w:rPr>
                                <w:rFonts w:ascii="Times New Roman" w:eastAsia="Times New Roman" w:hAnsi="Times New Roman" w:cs="Times New Roman"/>
                                <w:color w:val="0000FF"/>
                                <w:sz w:val="21"/>
                                <w:szCs w:val="21"/>
                              </w:rPr>
                            </w:pPr>
                            <w:r w:rsidRPr="004A7FCD">
                              <w:rPr>
                                <w:rFonts w:ascii="Times New Roman" w:eastAsia="Times New Roman" w:hAnsi="Times New Roman" w:cs="Times New Roman"/>
                                <w:color w:val="0000FF"/>
                                <w:sz w:val="21"/>
                                <w:szCs w:val="21"/>
                              </w:rPr>
                              <w:t>158</w:t>
                            </w:r>
                          </w:p>
                        </w:tc>
                      </w:tr>
                      <w:tr w:rsidR="004904C5" w14:paraId="7422F4CC" w14:textId="77777777" w:rsidTr="004F5EDC">
                        <w:tc>
                          <w:tcPr>
                            <w:tcW w:w="1250" w:type="dxa"/>
                            <w:vAlign w:val="center"/>
                          </w:tcPr>
                          <w:p w14:paraId="3E6FF3FB" w14:textId="77777777" w:rsidR="004904C5" w:rsidRPr="004A7FCD" w:rsidRDefault="004904C5" w:rsidP="004A7FCD">
                            <w:pPr>
                              <w:spacing w:before="20" w:after="20"/>
                              <w:jc w:val="right"/>
                              <w:rPr>
                                <w:rFonts w:ascii="Times New Roman" w:eastAsia="Times New Roman" w:hAnsi="Times New Roman" w:cs="Times New Roman"/>
                                <w:color w:val="0000FF"/>
                                <w:sz w:val="21"/>
                                <w:szCs w:val="21"/>
                              </w:rPr>
                            </w:pPr>
                            <w:r w:rsidRPr="004A7FCD">
                              <w:rPr>
                                <w:rFonts w:ascii="Times New Roman" w:eastAsia="Times New Roman" w:hAnsi="Times New Roman" w:cs="Times New Roman"/>
                                <w:color w:val="0000FF"/>
                                <w:sz w:val="21"/>
                                <w:szCs w:val="21"/>
                              </w:rPr>
                              <w:t>51,200</w:t>
                            </w:r>
                          </w:p>
                        </w:tc>
                        <w:tc>
                          <w:tcPr>
                            <w:tcW w:w="1630" w:type="dxa"/>
                            <w:vAlign w:val="center"/>
                          </w:tcPr>
                          <w:p w14:paraId="67EFC344" w14:textId="77777777" w:rsidR="004904C5" w:rsidRPr="004A7FCD" w:rsidRDefault="004904C5" w:rsidP="004A7FCD">
                            <w:pPr>
                              <w:spacing w:before="20" w:after="20"/>
                              <w:jc w:val="right"/>
                              <w:rPr>
                                <w:rFonts w:ascii="Times New Roman" w:eastAsia="Times New Roman" w:hAnsi="Times New Roman" w:cs="Times New Roman"/>
                                <w:color w:val="0000FF"/>
                                <w:sz w:val="21"/>
                                <w:szCs w:val="21"/>
                              </w:rPr>
                            </w:pPr>
                            <w:r w:rsidRPr="004A7FCD">
                              <w:rPr>
                                <w:rFonts w:ascii="Times New Roman" w:eastAsia="Times New Roman" w:hAnsi="Times New Roman" w:cs="Times New Roman"/>
                                <w:color w:val="0000FF"/>
                                <w:sz w:val="21"/>
                                <w:szCs w:val="21"/>
                              </w:rPr>
                              <w:t>174</w:t>
                            </w:r>
                          </w:p>
                        </w:tc>
                      </w:tr>
                      <w:tr w:rsidR="004904C5" w14:paraId="14409F60" w14:textId="77777777" w:rsidTr="004F5EDC">
                        <w:tc>
                          <w:tcPr>
                            <w:tcW w:w="1250" w:type="dxa"/>
                            <w:vAlign w:val="bottom"/>
                          </w:tcPr>
                          <w:p w14:paraId="7C1621EE" w14:textId="77777777" w:rsidR="004904C5" w:rsidRPr="004A7FCD" w:rsidRDefault="004904C5" w:rsidP="004A7FCD">
                            <w:pPr>
                              <w:spacing w:before="20" w:after="20"/>
                              <w:jc w:val="right"/>
                              <w:rPr>
                                <w:rFonts w:ascii="Times New Roman" w:eastAsia="Times New Roman" w:hAnsi="Times New Roman" w:cs="Times New Roman"/>
                                <w:color w:val="0000FF"/>
                                <w:sz w:val="21"/>
                                <w:szCs w:val="21"/>
                              </w:rPr>
                            </w:pPr>
                            <w:r w:rsidRPr="004A7FCD">
                              <w:rPr>
                                <w:rFonts w:ascii="Times New Roman" w:eastAsia="Times New Roman" w:hAnsi="Times New Roman" w:cs="Times New Roman"/>
                                <w:color w:val="0000FF"/>
                                <w:sz w:val="21"/>
                                <w:szCs w:val="21"/>
                              </w:rPr>
                              <w:t>102,400</w:t>
                            </w:r>
                          </w:p>
                        </w:tc>
                        <w:tc>
                          <w:tcPr>
                            <w:tcW w:w="1630" w:type="dxa"/>
                            <w:vAlign w:val="bottom"/>
                          </w:tcPr>
                          <w:p w14:paraId="78208FFC" w14:textId="77777777" w:rsidR="004904C5" w:rsidRPr="004A7FCD" w:rsidRDefault="004904C5" w:rsidP="004A7FCD">
                            <w:pPr>
                              <w:spacing w:before="20" w:after="20"/>
                              <w:jc w:val="right"/>
                              <w:rPr>
                                <w:rFonts w:ascii="Times New Roman" w:eastAsia="Times New Roman" w:hAnsi="Times New Roman" w:cs="Times New Roman"/>
                                <w:color w:val="0000FF"/>
                                <w:sz w:val="21"/>
                                <w:szCs w:val="21"/>
                              </w:rPr>
                            </w:pPr>
                            <w:r w:rsidRPr="004A7FCD">
                              <w:rPr>
                                <w:rFonts w:ascii="Times New Roman" w:eastAsia="Times New Roman" w:hAnsi="Times New Roman" w:cs="Times New Roman"/>
                                <w:color w:val="0000FF"/>
                                <w:sz w:val="21"/>
                                <w:szCs w:val="21"/>
                              </w:rPr>
                              <w:t>190</w:t>
                            </w:r>
                          </w:p>
                        </w:tc>
                      </w:tr>
                      <w:tr w:rsidR="004904C5" w14:paraId="53BB77FA" w14:textId="77777777" w:rsidTr="004F5EDC">
                        <w:tc>
                          <w:tcPr>
                            <w:tcW w:w="1250" w:type="dxa"/>
                            <w:vAlign w:val="bottom"/>
                          </w:tcPr>
                          <w:p w14:paraId="0E2EDDDA" w14:textId="77777777" w:rsidR="004904C5" w:rsidRPr="004A7FCD" w:rsidRDefault="004904C5" w:rsidP="004A7FCD">
                            <w:pPr>
                              <w:spacing w:before="20" w:after="20"/>
                              <w:jc w:val="right"/>
                              <w:rPr>
                                <w:rFonts w:ascii="Times New Roman" w:eastAsia="Times New Roman" w:hAnsi="Times New Roman" w:cs="Times New Roman"/>
                                <w:color w:val="0000FF"/>
                                <w:sz w:val="21"/>
                                <w:szCs w:val="21"/>
                              </w:rPr>
                            </w:pPr>
                            <w:r w:rsidRPr="004A7FCD">
                              <w:rPr>
                                <w:rFonts w:ascii="Times New Roman" w:eastAsia="Times New Roman" w:hAnsi="Times New Roman" w:cs="Times New Roman"/>
                                <w:color w:val="0000FF"/>
                                <w:sz w:val="21"/>
                                <w:szCs w:val="21"/>
                              </w:rPr>
                              <w:t>204,800</w:t>
                            </w:r>
                          </w:p>
                        </w:tc>
                        <w:tc>
                          <w:tcPr>
                            <w:tcW w:w="1630" w:type="dxa"/>
                            <w:vAlign w:val="bottom"/>
                          </w:tcPr>
                          <w:p w14:paraId="37019B9C" w14:textId="77777777" w:rsidR="004904C5" w:rsidRPr="004A7FCD" w:rsidRDefault="004904C5" w:rsidP="004A7FCD">
                            <w:pPr>
                              <w:spacing w:before="20" w:after="20"/>
                              <w:jc w:val="right"/>
                              <w:rPr>
                                <w:rFonts w:ascii="Times New Roman" w:eastAsia="Times New Roman" w:hAnsi="Times New Roman" w:cs="Times New Roman"/>
                                <w:color w:val="0000FF"/>
                                <w:sz w:val="21"/>
                                <w:szCs w:val="21"/>
                              </w:rPr>
                            </w:pPr>
                            <w:r w:rsidRPr="004A7FCD">
                              <w:rPr>
                                <w:rFonts w:ascii="Times New Roman" w:eastAsia="Times New Roman" w:hAnsi="Times New Roman" w:cs="Times New Roman"/>
                                <w:color w:val="0000FF"/>
                                <w:sz w:val="21"/>
                                <w:szCs w:val="21"/>
                              </w:rPr>
                              <w:t>205</w:t>
                            </w:r>
                          </w:p>
                        </w:tc>
                      </w:tr>
                      <w:tr w:rsidR="004904C5" w14:paraId="737CF3B5" w14:textId="77777777" w:rsidTr="004F5EDC">
                        <w:tc>
                          <w:tcPr>
                            <w:tcW w:w="1250" w:type="dxa"/>
                            <w:vAlign w:val="bottom"/>
                          </w:tcPr>
                          <w:p w14:paraId="59F69686" w14:textId="77777777" w:rsidR="004904C5" w:rsidRPr="004A7FCD" w:rsidRDefault="004904C5" w:rsidP="004A7FCD">
                            <w:pPr>
                              <w:spacing w:before="20" w:after="20"/>
                              <w:jc w:val="right"/>
                              <w:rPr>
                                <w:rFonts w:ascii="Times New Roman" w:eastAsia="Times New Roman" w:hAnsi="Times New Roman" w:cs="Times New Roman"/>
                                <w:color w:val="0000FF"/>
                                <w:sz w:val="21"/>
                                <w:szCs w:val="21"/>
                              </w:rPr>
                            </w:pPr>
                            <w:r w:rsidRPr="004A7FCD">
                              <w:rPr>
                                <w:rFonts w:ascii="Times New Roman" w:eastAsia="Times New Roman" w:hAnsi="Times New Roman" w:cs="Times New Roman"/>
                                <w:color w:val="0000FF"/>
                                <w:sz w:val="21"/>
                                <w:szCs w:val="21"/>
                              </w:rPr>
                              <w:t>409,600</w:t>
                            </w:r>
                          </w:p>
                        </w:tc>
                        <w:tc>
                          <w:tcPr>
                            <w:tcW w:w="1630" w:type="dxa"/>
                            <w:vAlign w:val="bottom"/>
                          </w:tcPr>
                          <w:p w14:paraId="63F97150" w14:textId="77777777" w:rsidR="004904C5" w:rsidRPr="004A7FCD" w:rsidRDefault="004904C5" w:rsidP="004A7FCD">
                            <w:pPr>
                              <w:spacing w:before="20" w:after="20"/>
                              <w:jc w:val="right"/>
                              <w:rPr>
                                <w:rFonts w:ascii="Times New Roman" w:eastAsia="Times New Roman" w:hAnsi="Times New Roman" w:cs="Times New Roman"/>
                                <w:color w:val="0000FF"/>
                                <w:sz w:val="21"/>
                                <w:szCs w:val="21"/>
                              </w:rPr>
                            </w:pPr>
                            <w:r w:rsidRPr="004A7FCD">
                              <w:rPr>
                                <w:rFonts w:ascii="Times New Roman" w:eastAsia="Times New Roman" w:hAnsi="Times New Roman" w:cs="Times New Roman"/>
                                <w:color w:val="0000FF"/>
                                <w:sz w:val="21"/>
                                <w:szCs w:val="21"/>
                              </w:rPr>
                              <w:t>221</w:t>
                            </w:r>
                          </w:p>
                        </w:tc>
                      </w:tr>
                    </w:tbl>
                    <w:p w14:paraId="1B9E6B4E" w14:textId="77777777" w:rsidR="004904C5" w:rsidRPr="00885C13" w:rsidRDefault="004904C5" w:rsidP="004904C5">
                      <w:pPr>
                        <w:spacing w:line="240" w:lineRule="auto"/>
                        <w:rPr>
                          <w:rFonts w:ascii="Times New Roman" w:eastAsia="Times New Roman" w:hAnsi="Times New Roman" w:cs="Times New Roman"/>
                          <w:color w:val="0000FF"/>
                          <w:sz w:val="21"/>
                          <w:szCs w:val="21"/>
                        </w:rPr>
                      </w:pPr>
                      <w:r w:rsidRPr="00885C13">
                        <w:rPr>
                          <w:rFonts w:ascii="Times New Roman" w:eastAsia="Times New Roman" w:hAnsi="Times New Roman" w:cs="Times New Roman"/>
                          <w:color w:val="0000FF"/>
                          <w:sz w:val="21"/>
                          <w:szCs w:val="21"/>
                        </w:rPr>
                        <w:t>Table 1, Average number third</w:t>
                      </w:r>
                      <w:r>
                        <w:rPr>
                          <w:rFonts w:ascii="Times New Roman" w:eastAsia="Times New Roman" w:hAnsi="Times New Roman" w:cs="Times New Roman"/>
                          <w:color w:val="0000FF"/>
                          <w:sz w:val="21"/>
                          <w:szCs w:val="21"/>
                        </w:rPr>
                        <w:t xml:space="preserve"> </w:t>
                      </w:r>
                      <w:r w:rsidRPr="00885C13">
                        <w:rPr>
                          <w:rFonts w:ascii="Times New Roman" w:eastAsia="Times New Roman" w:hAnsi="Times New Roman" w:cs="Times New Roman"/>
                          <w:color w:val="0000FF"/>
                          <w:sz w:val="21"/>
                          <w:szCs w:val="21"/>
                        </w:rPr>
                        <w:t>parties that could expose data, by company size. Data from VivoSecurity</w:t>
                      </w:r>
                      <w:r>
                        <w:rPr>
                          <w:rFonts w:ascii="Times New Roman" w:eastAsia="Times New Roman" w:hAnsi="Times New Roman" w:cs="Times New Roman"/>
                          <w:color w:val="0000FF"/>
                          <w:sz w:val="21"/>
                          <w:szCs w:val="21"/>
                        </w:rPr>
                        <w:t>, 2025.</w:t>
                      </w:r>
                    </w:p>
                  </w:txbxContent>
                </v:textbox>
                <w10:wrap type="tight"/>
              </v:shape>
            </w:pict>
          </mc:Fallback>
        </mc:AlternateContent>
      </w:r>
      <w:r>
        <w:rPr>
          <w:rFonts w:ascii="Times New Roman" w:eastAsia="Times New Roman" w:hAnsi="Times New Roman" w:cs="Times New Roman"/>
          <w:color w:val="0000FF"/>
        </w:rPr>
        <w:t>Organizations typically fall into one of three conditions:</w:t>
      </w:r>
    </w:p>
    <w:p w14:paraId="63C2BDFF" w14:textId="77777777" w:rsidR="000D67A3" w:rsidRDefault="00000000">
      <w:pPr>
        <w:numPr>
          <w:ilvl w:val="0"/>
          <w:numId w:val="4"/>
        </w:numPr>
        <w:spacing w:before="280" w:after="0" w:line="240" w:lineRule="auto"/>
        <w:jc w:val="both"/>
        <w:rPr>
          <w:rFonts w:ascii="Times New Roman" w:eastAsia="Times New Roman" w:hAnsi="Times New Roman" w:cs="Times New Roman"/>
          <w:color w:val="0000FF"/>
        </w:rPr>
      </w:pPr>
      <w:r>
        <w:rPr>
          <w:rFonts w:ascii="Times New Roman" w:eastAsia="Times New Roman" w:hAnsi="Times New Roman" w:cs="Times New Roman"/>
          <w:color w:val="0000FF"/>
        </w:rPr>
        <w:t>The number of third parties holding large volumes of sensitive data is unknown.</w:t>
      </w:r>
    </w:p>
    <w:p w14:paraId="40FFD5CD" w14:textId="77777777" w:rsidR="000D67A3" w:rsidRDefault="00000000">
      <w:pPr>
        <w:numPr>
          <w:ilvl w:val="0"/>
          <w:numId w:val="4"/>
        </w:numPr>
        <w:spacing w:after="0" w:line="240" w:lineRule="auto"/>
        <w:jc w:val="both"/>
        <w:rPr>
          <w:rFonts w:ascii="Times New Roman" w:eastAsia="Times New Roman" w:hAnsi="Times New Roman" w:cs="Times New Roman"/>
          <w:color w:val="0000FF"/>
        </w:rPr>
      </w:pPr>
      <w:r>
        <w:rPr>
          <w:rFonts w:ascii="Times New Roman" w:eastAsia="Times New Roman" w:hAnsi="Times New Roman" w:cs="Times New Roman"/>
          <w:color w:val="0000FF"/>
        </w:rPr>
        <w:t>The number of third parties with access to sensitive data is known, but the volume of data each holds is not.</w:t>
      </w:r>
    </w:p>
    <w:p w14:paraId="31B9DE1C" w14:textId="77777777" w:rsidR="000D67A3" w:rsidRDefault="00000000">
      <w:pPr>
        <w:numPr>
          <w:ilvl w:val="0"/>
          <w:numId w:val="4"/>
        </w:numPr>
        <w:spacing w:after="280" w:line="240" w:lineRule="auto"/>
        <w:jc w:val="both"/>
        <w:rPr>
          <w:rFonts w:ascii="Times New Roman" w:eastAsia="Times New Roman" w:hAnsi="Times New Roman" w:cs="Times New Roman"/>
          <w:color w:val="0000FF"/>
        </w:rPr>
      </w:pPr>
      <w:r>
        <w:rPr>
          <w:rFonts w:ascii="Times New Roman" w:eastAsia="Times New Roman" w:hAnsi="Times New Roman" w:cs="Times New Roman"/>
          <w:color w:val="0000FF"/>
        </w:rPr>
        <w:t>Both the number of third parties and the volume of data they hold are known.</w:t>
      </w:r>
    </w:p>
    <w:p w14:paraId="428A9A55" w14:textId="77777777" w:rsidR="000D67A3" w:rsidRDefault="00000000">
      <w:pPr>
        <w:spacing w:before="240" w:after="240" w:line="240" w:lineRule="auto"/>
        <w:jc w:val="both"/>
        <w:rPr>
          <w:rFonts w:ascii="Times New Roman" w:eastAsia="Times New Roman" w:hAnsi="Times New Roman" w:cs="Times New Roman"/>
          <w:color w:val="0000FF"/>
        </w:rPr>
      </w:pPr>
      <w:r>
        <w:rPr>
          <w:rFonts w:ascii="Times New Roman" w:eastAsia="Times New Roman" w:hAnsi="Times New Roman" w:cs="Times New Roman"/>
          <w:color w:val="0000FF"/>
        </w:rPr>
        <w:t>The sections that follow should be tailored to your specific condition. Remove any blue instructional text as you customize the memo.</w:t>
      </w:r>
    </w:p>
    <w:p w14:paraId="5A4F97A1" w14:textId="77777777" w:rsidR="000D67A3" w:rsidRDefault="00000000">
      <w:pPr>
        <w:numPr>
          <w:ilvl w:val="0"/>
          <w:numId w:val="3"/>
        </w:numPr>
        <w:spacing w:before="280" w:after="0" w:line="240" w:lineRule="auto"/>
        <w:jc w:val="both"/>
        <w:rPr>
          <w:rFonts w:ascii="Times New Roman" w:eastAsia="Times New Roman" w:hAnsi="Times New Roman" w:cs="Times New Roman"/>
          <w:color w:val="0000FF"/>
        </w:rPr>
      </w:pPr>
      <w:r>
        <w:rPr>
          <w:rFonts w:ascii="Times New Roman" w:eastAsia="Times New Roman" w:hAnsi="Times New Roman" w:cs="Times New Roman"/>
          <w:b/>
          <w:bCs/>
          <w:color w:val="0000FF"/>
        </w:rPr>
        <w:t>If you are in Situation 1:</w:t>
      </w:r>
      <w:r>
        <w:rPr>
          <w:rFonts w:ascii="Times New Roman" w:eastAsia="Times New Roman" w:hAnsi="Times New Roman" w:cs="Times New Roman"/>
          <w:color w:val="0000FF"/>
        </w:rPr>
        <w:t xml:space="preserve"> Estimate the number of third parties (N) using your organization’s employee count and the reference table provided. Complete Section 1 and remove Sections 2 and 3.</w:t>
      </w:r>
    </w:p>
    <w:p w14:paraId="3A78D2C8" w14:textId="77777777" w:rsidR="000D67A3" w:rsidRDefault="00000000">
      <w:pPr>
        <w:numPr>
          <w:ilvl w:val="0"/>
          <w:numId w:val="3"/>
        </w:numPr>
        <w:spacing w:after="0" w:line="240" w:lineRule="auto"/>
        <w:jc w:val="both"/>
        <w:rPr>
          <w:rFonts w:ascii="Times New Roman" w:eastAsia="Times New Roman" w:hAnsi="Times New Roman" w:cs="Times New Roman"/>
          <w:color w:val="0000FF"/>
        </w:rPr>
      </w:pPr>
      <w:r>
        <w:rPr>
          <w:rFonts w:ascii="Times New Roman" w:eastAsia="Times New Roman" w:hAnsi="Times New Roman" w:cs="Times New Roman"/>
          <w:b/>
          <w:bCs/>
          <w:color w:val="0000FF"/>
        </w:rPr>
        <w:t>If you are in Situation 2:</w:t>
      </w:r>
      <w:r>
        <w:rPr>
          <w:rFonts w:ascii="Times New Roman" w:eastAsia="Times New Roman" w:hAnsi="Times New Roman" w:cs="Times New Roman"/>
          <w:color w:val="0000FF"/>
        </w:rPr>
        <w:t xml:space="preserve"> Set N equal to the total number of third parties that could expose any amount of sensitive data. Complete Section 2 and remove Sections 1 and 3.</w:t>
      </w:r>
    </w:p>
    <w:p w14:paraId="483B0D96" w14:textId="77777777" w:rsidR="000D67A3" w:rsidRDefault="00000000">
      <w:pPr>
        <w:numPr>
          <w:ilvl w:val="0"/>
          <w:numId w:val="3"/>
        </w:numPr>
        <w:spacing w:after="280" w:line="240" w:lineRule="auto"/>
        <w:jc w:val="both"/>
        <w:rPr>
          <w:rFonts w:ascii="Times New Roman" w:eastAsia="Times New Roman" w:hAnsi="Times New Roman" w:cs="Times New Roman"/>
          <w:color w:val="0000FF"/>
        </w:rPr>
      </w:pPr>
      <w:r>
        <w:rPr>
          <w:rFonts w:ascii="Times New Roman" w:eastAsia="Times New Roman" w:hAnsi="Times New Roman" w:cs="Times New Roman"/>
          <w:b/>
          <w:bCs/>
          <w:color w:val="0000FF"/>
        </w:rPr>
        <w:t>If you are in Situation 3:</w:t>
      </w:r>
      <w:r>
        <w:rPr>
          <w:rFonts w:ascii="Times New Roman" w:eastAsia="Times New Roman" w:hAnsi="Times New Roman" w:cs="Times New Roman"/>
          <w:color w:val="0000FF"/>
        </w:rPr>
        <w:t xml:space="preserve"> Select a breach size threshold that would constitute a material breach for your organization, and set N to the number of third parties whose data holdings meet or exceed that threshold. For example, if a material breach is defined as affecting </w:t>
      </w:r>
      <w:r>
        <w:rPr>
          <w:rFonts w:ascii="Times New Roman" w:eastAsia="Times New Roman" w:hAnsi="Times New Roman" w:cs="Times New Roman"/>
          <w:color w:val="0000FF"/>
        </w:rPr>
        <w:lastRenderedPageBreak/>
        <w:t>100,000 or more individuals, count the number of third parties capable of exposing data for 100,000+ individuals. Complete Section 3 and remove Sections 1 and 2.</w:t>
      </w:r>
    </w:p>
    <w:p w14:paraId="1C84FF8C" w14:textId="77777777" w:rsidR="000D67A3" w:rsidRDefault="00000000">
      <w:pPr>
        <w:spacing w:before="280" w:after="280" w:line="240" w:lineRule="auto"/>
        <w:jc w:val="both"/>
        <w:rPr>
          <w:rFonts w:ascii="Times New Roman" w:eastAsia="Times New Roman" w:hAnsi="Times New Roman" w:cs="Times New Roman"/>
          <w:color w:val="0000FF"/>
        </w:rPr>
      </w:pPr>
      <w:r>
        <w:rPr>
          <w:rFonts w:ascii="Times New Roman" w:eastAsia="Times New Roman" w:hAnsi="Times New Roman" w:cs="Times New Roman"/>
          <w:color w:val="0000FF"/>
        </w:rPr>
        <w:t>In Sections 1, 2, and 3, complete the calculations and populate the table using the following method:</w:t>
      </w:r>
    </w:p>
    <w:p w14:paraId="354C5F59" w14:textId="77777777" w:rsidR="000D67A3" w:rsidRDefault="00000000">
      <w:pPr>
        <w:numPr>
          <w:ilvl w:val="0"/>
          <w:numId w:val="2"/>
        </w:numPr>
        <w:spacing w:before="280" w:after="0" w:line="240" w:lineRule="auto"/>
        <w:jc w:val="both"/>
        <w:rPr>
          <w:rFonts w:ascii="Times New Roman" w:eastAsia="Times New Roman" w:hAnsi="Times New Roman" w:cs="Times New Roman"/>
          <w:color w:val="0000FF"/>
        </w:rPr>
      </w:pPr>
      <w:r>
        <w:rPr>
          <w:rFonts w:ascii="Times New Roman" w:eastAsia="Times New Roman" w:hAnsi="Times New Roman" w:cs="Times New Roman"/>
          <w:b/>
          <w:bCs/>
          <w:color w:val="0000FF"/>
        </w:rPr>
        <w:t xml:space="preserve">Mean Years Between Breaches </w:t>
      </w:r>
      <w:r>
        <w:rPr>
          <w:rFonts w:ascii="Times New Roman" w:eastAsia="Times New Roman" w:hAnsi="Times New Roman" w:cs="Times New Roman"/>
          <w:color w:val="0000FF"/>
        </w:rPr>
        <w:t>(MYB): Compute MYB as 1 ÷ (N×0.066%), where N is the number of third parties.</w:t>
      </w:r>
    </w:p>
    <w:p w14:paraId="4DF2A9BB" w14:textId="77777777" w:rsidR="000D67A3" w:rsidRDefault="00000000">
      <w:pPr>
        <w:numPr>
          <w:ilvl w:val="0"/>
          <w:numId w:val="2"/>
        </w:numPr>
        <w:spacing w:after="0" w:line="240" w:lineRule="auto"/>
        <w:jc w:val="both"/>
        <w:rPr>
          <w:rFonts w:ascii="Times New Roman" w:eastAsia="Times New Roman" w:hAnsi="Times New Roman" w:cs="Times New Roman"/>
          <w:color w:val="0000FF"/>
        </w:rPr>
      </w:pPr>
      <w:r>
        <w:rPr>
          <w:rFonts w:ascii="Times New Roman" w:eastAsia="Times New Roman" w:hAnsi="Times New Roman" w:cs="Times New Roman"/>
          <w:b/>
          <w:bCs/>
          <w:color w:val="0000FF"/>
        </w:rPr>
        <w:t>50% Probability Interval:</w:t>
      </w:r>
      <w:r>
        <w:rPr>
          <w:rFonts w:ascii="Times New Roman" w:eastAsia="Times New Roman" w:hAnsi="Times New Roman" w:cs="Times New Roman"/>
          <w:color w:val="0000FF"/>
        </w:rPr>
        <w:t xml:space="preserve"> Calculate this as MYB ÷ 2.</w:t>
      </w:r>
    </w:p>
    <w:p w14:paraId="716640F3" w14:textId="77777777" w:rsidR="000D67A3" w:rsidRDefault="00000000">
      <w:pPr>
        <w:numPr>
          <w:ilvl w:val="0"/>
          <w:numId w:val="2"/>
        </w:numPr>
        <w:spacing w:after="280" w:line="240" w:lineRule="auto"/>
        <w:jc w:val="both"/>
        <w:rPr>
          <w:rFonts w:ascii="Times New Roman" w:eastAsia="Times New Roman" w:hAnsi="Times New Roman" w:cs="Times New Roman"/>
          <w:color w:val="0000FF"/>
        </w:rPr>
      </w:pPr>
      <w:r>
        <w:rPr>
          <w:rFonts w:ascii="Times New Roman" w:eastAsia="Times New Roman" w:hAnsi="Times New Roman" w:cs="Times New Roman"/>
          <w:b/>
          <w:bCs/>
          <w:color w:val="0000FF"/>
        </w:rPr>
        <w:t>30% Probability Interval:</w:t>
      </w:r>
      <w:r>
        <w:rPr>
          <w:rFonts w:ascii="Times New Roman" w:eastAsia="Times New Roman" w:hAnsi="Times New Roman" w:cs="Times New Roman"/>
          <w:color w:val="0000FF"/>
        </w:rPr>
        <w:t xml:space="preserve"> Calculate this as MYB ÷ 3.</w:t>
      </w:r>
    </w:p>
    <w:tbl>
      <w:tblPr>
        <w:tblStyle w:val="a0"/>
        <w:tblpPr w:leftFromText="180" w:rightFromText="180" w:topFromText="180" w:bottomFromText="180" w:vertAnchor="text"/>
        <w:tblW w:w="7447" w:type="dxa"/>
        <w:tblInd w:w="0" w:type="dxa"/>
        <w:tblBorders>
          <w:top w:val="single" w:sz="8" w:space="0" w:color="0000FF"/>
          <w:left w:val="single" w:sz="8" w:space="0" w:color="0000FF"/>
          <w:bottom w:val="single" w:sz="8" w:space="0" w:color="0000FF"/>
          <w:right w:val="single" w:sz="8" w:space="0" w:color="0000FF"/>
          <w:insideH w:val="single" w:sz="8" w:space="0" w:color="0000FF"/>
          <w:insideV w:val="single" w:sz="8" w:space="0" w:color="0000FF"/>
        </w:tblBorders>
        <w:tblLayout w:type="fixed"/>
        <w:tblLook w:val="0600" w:firstRow="0" w:lastRow="0" w:firstColumn="0" w:lastColumn="0" w:noHBand="1" w:noVBand="1"/>
      </w:tblPr>
      <w:tblGrid>
        <w:gridCol w:w="3120"/>
        <w:gridCol w:w="1530"/>
        <w:gridCol w:w="2797"/>
      </w:tblGrid>
      <w:tr w:rsidR="000D67A3" w14:paraId="027C804B" w14:textId="77777777">
        <w:tc>
          <w:tcPr>
            <w:tcW w:w="3120" w:type="dxa"/>
          </w:tcPr>
          <w:p w14:paraId="7AD69832" w14:textId="77777777" w:rsidR="000D67A3" w:rsidRDefault="00000000">
            <w:pPr>
              <w:widowControl w:val="0"/>
              <w:spacing w:after="0" w:line="240" w:lineRule="auto"/>
              <w:jc w:val="center"/>
              <w:rPr>
                <w:rFonts w:ascii="Times New Roman" w:eastAsia="Times New Roman" w:hAnsi="Times New Roman" w:cs="Times New Roman"/>
                <w:color w:val="0000FF"/>
              </w:rPr>
            </w:pPr>
            <w:r>
              <w:rPr>
                <w:rFonts w:ascii="Times New Roman" w:eastAsia="Times New Roman" w:hAnsi="Times New Roman" w:cs="Times New Roman"/>
                <w:color w:val="0000FF"/>
              </w:rPr>
              <w:t>Mean years between breaches</w:t>
            </w:r>
          </w:p>
        </w:tc>
        <w:tc>
          <w:tcPr>
            <w:tcW w:w="1530" w:type="dxa"/>
          </w:tcPr>
          <w:p w14:paraId="1599A1FD" w14:textId="77777777" w:rsidR="000D67A3" w:rsidRDefault="00000000">
            <w:pPr>
              <w:widowControl w:val="0"/>
              <w:spacing w:after="0" w:line="240" w:lineRule="auto"/>
              <w:jc w:val="center"/>
              <w:rPr>
                <w:rFonts w:ascii="Times New Roman" w:eastAsia="Times New Roman" w:hAnsi="Times New Roman" w:cs="Times New Roman"/>
                <w:color w:val="0000FF"/>
              </w:rPr>
            </w:pPr>
            <w:r>
              <w:rPr>
                <w:rFonts w:ascii="Times New Roman" w:eastAsia="Times New Roman" w:hAnsi="Times New Roman" w:cs="Times New Roman"/>
                <w:color w:val="0000FF"/>
              </w:rPr>
              <w:t>50% chance</w:t>
            </w:r>
          </w:p>
        </w:tc>
        <w:tc>
          <w:tcPr>
            <w:tcW w:w="2797" w:type="dxa"/>
          </w:tcPr>
          <w:p w14:paraId="41E82912" w14:textId="77777777" w:rsidR="000D67A3" w:rsidRDefault="00000000">
            <w:pPr>
              <w:widowControl w:val="0"/>
              <w:spacing w:after="0" w:line="240" w:lineRule="auto"/>
              <w:jc w:val="center"/>
              <w:rPr>
                <w:rFonts w:ascii="Times New Roman" w:eastAsia="Times New Roman" w:hAnsi="Times New Roman" w:cs="Times New Roman"/>
                <w:color w:val="0000FF"/>
              </w:rPr>
            </w:pPr>
            <w:r>
              <w:rPr>
                <w:rFonts w:ascii="Times New Roman" w:eastAsia="Times New Roman" w:hAnsi="Times New Roman" w:cs="Times New Roman"/>
                <w:color w:val="0000FF"/>
              </w:rPr>
              <w:t>30% chance (one in three)</w:t>
            </w:r>
          </w:p>
        </w:tc>
      </w:tr>
      <w:tr w:rsidR="000D67A3" w14:paraId="58A1E8BF" w14:textId="77777777">
        <w:tc>
          <w:tcPr>
            <w:tcW w:w="3120" w:type="dxa"/>
          </w:tcPr>
          <w:p w14:paraId="7D526E2C" w14:textId="77777777" w:rsidR="000D67A3" w:rsidRDefault="00000000">
            <w:pPr>
              <w:widowControl w:val="0"/>
              <w:spacing w:after="0" w:line="240" w:lineRule="auto"/>
              <w:jc w:val="center"/>
              <w:rPr>
                <w:rFonts w:ascii="Times New Roman" w:eastAsia="Times New Roman" w:hAnsi="Times New Roman" w:cs="Times New Roman"/>
                <w:color w:val="0000FF"/>
              </w:rPr>
            </w:pPr>
            <w:r>
              <w:rPr>
                <w:rFonts w:ascii="Times New Roman" w:eastAsia="Times New Roman" w:hAnsi="Times New Roman" w:cs="Times New Roman"/>
                <w:color w:val="0000FF"/>
              </w:rPr>
              <w:t>MYB = 1 / (N x 0.066%)</w:t>
            </w:r>
          </w:p>
        </w:tc>
        <w:tc>
          <w:tcPr>
            <w:tcW w:w="1530" w:type="dxa"/>
          </w:tcPr>
          <w:p w14:paraId="5E597F47" w14:textId="77777777" w:rsidR="000D67A3" w:rsidRDefault="00000000">
            <w:pPr>
              <w:widowControl w:val="0"/>
              <w:spacing w:after="0" w:line="240" w:lineRule="auto"/>
              <w:jc w:val="center"/>
              <w:rPr>
                <w:rFonts w:ascii="Times New Roman" w:eastAsia="Times New Roman" w:hAnsi="Times New Roman" w:cs="Times New Roman"/>
                <w:color w:val="0000FF"/>
              </w:rPr>
            </w:pPr>
            <w:r>
              <w:rPr>
                <w:rFonts w:ascii="Times New Roman" w:eastAsia="Times New Roman" w:hAnsi="Times New Roman" w:cs="Times New Roman"/>
                <w:color w:val="0000FF"/>
              </w:rPr>
              <w:t>MYB / 2</w:t>
            </w:r>
          </w:p>
        </w:tc>
        <w:tc>
          <w:tcPr>
            <w:tcW w:w="2797" w:type="dxa"/>
          </w:tcPr>
          <w:p w14:paraId="2A74A9C6" w14:textId="77777777" w:rsidR="000D67A3" w:rsidRDefault="00000000">
            <w:pPr>
              <w:widowControl w:val="0"/>
              <w:spacing w:after="0" w:line="240" w:lineRule="auto"/>
              <w:jc w:val="center"/>
              <w:rPr>
                <w:rFonts w:ascii="Times New Roman" w:eastAsia="Times New Roman" w:hAnsi="Times New Roman" w:cs="Times New Roman"/>
                <w:color w:val="0000FF"/>
              </w:rPr>
            </w:pPr>
            <w:r>
              <w:rPr>
                <w:rFonts w:ascii="Times New Roman" w:eastAsia="Times New Roman" w:hAnsi="Times New Roman" w:cs="Times New Roman"/>
                <w:color w:val="0000FF"/>
              </w:rPr>
              <w:t>MYB / 3</w:t>
            </w:r>
          </w:p>
        </w:tc>
      </w:tr>
    </w:tbl>
    <w:p w14:paraId="566ABCBB" w14:textId="77777777" w:rsidR="000D67A3" w:rsidRDefault="000D67A3">
      <w:pPr>
        <w:spacing w:before="280" w:after="280" w:line="240" w:lineRule="auto"/>
        <w:rPr>
          <w:rFonts w:ascii="Times New Roman" w:eastAsia="Times New Roman" w:hAnsi="Times New Roman" w:cs="Times New Roman"/>
          <w:color w:val="0000FF"/>
        </w:rPr>
      </w:pPr>
    </w:p>
    <w:p w14:paraId="57D72780" w14:textId="77777777" w:rsidR="000D67A3" w:rsidRDefault="000D67A3">
      <w:pPr>
        <w:spacing w:before="280" w:after="280" w:line="240" w:lineRule="auto"/>
        <w:rPr>
          <w:rFonts w:ascii="Times New Roman" w:eastAsia="Times New Roman" w:hAnsi="Times New Roman" w:cs="Times New Roman"/>
          <w:color w:val="0000FF"/>
        </w:rPr>
      </w:pPr>
    </w:p>
    <w:p w14:paraId="741343F8" w14:textId="77777777" w:rsidR="000D67A3" w:rsidRDefault="00000000">
      <w:pPr>
        <w:spacing w:before="280" w:after="280" w:line="276" w:lineRule="auto"/>
        <w:rPr>
          <w:rFonts w:ascii="Times New Roman" w:eastAsia="Times New Roman" w:hAnsi="Times New Roman" w:cs="Times New Roman"/>
          <w:color w:val="0000FF"/>
        </w:rPr>
      </w:pPr>
      <w:r>
        <w:rPr>
          <w:rFonts w:ascii="Times New Roman" w:eastAsia="Times New Roman" w:hAnsi="Times New Roman" w:cs="Times New Roman"/>
          <w:b/>
          <w:bCs/>
          <w:color w:val="0000FF"/>
        </w:rPr>
        <w:t>Example:</w:t>
      </w:r>
      <w:r>
        <w:rPr>
          <w:rFonts w:ascii="Times New Roman" w:eastAsia="Times New Roman" w:hAnsi="Times New Roman" w:cs="Times New Roman"/>
          <w:color w:val="0000FF"/>
        </w:rPr>
        <w:t xml:space="preserve"> an organization has 1000 employees and the number of third parties that could expose data is unknown. Using table 1, we estimate that we might have about 84 third parties that could expose our data. We therefore forecast an expected value of 84 × 0.066% = 5.5% and a MYB as 1 ÷ 0.055 = 18 years with a 50% chance in 18 ÷ 2 =  9 years and a 30% chance in 18 ÷ 3 = 6 years.</w:t>
      </w:r>
    </w:p>
    <w:p w14:paraId="22238592" w14:textId="77777777" w:rsidR="000D67A3" w:rsidRDefault="00000000">
      <w:pPr>
        <w:spacing w:before="280" w:after="280" w:line="240" w:lineRule="auto"/>
        <w:rPr>
          <w:rFonts w:ascii="Times New Roman" w:eastAsia="Times New Roman" w:hAnsi="Times New Roman" w:cs="Times New Roman"/>
          <w:color w:val="0000FF"/>
        </w:rPr>
      </w:pPr>
      <w:r>
        <w:rPr>
          <w:rFonts w:ascii="Times New Roman" w:eastAsia="Times New Roman" w:hAnsi="Times New Roman" w:cs="Times New Roman"/>
          <w:color w:val="0000FF"/>
        </w:rPr>
        <w:t>Section 1</w:t>
      </w:r>
    </w:p>
    <w:p w14:paraId="47C7EAE9" w14:textId="77777777" w:rsidR="000D67A3" w:rsidRDefault="00000000">
      <w:pPr>
        <w:spacing w:before="280" w:after="280" w:line="240" w:lineRule="auto"/>
        <w:jc w:val="both"/>
        <w:rPr>
          <w:rFonts w:ascii="Times New Roman" w:eastAsia="Times New Roman" w:hAnsi="Times New Roman" w:cs="Times New Roman"/>
        </w:rPr>
      </w:pPr>
      <w:r>
        <w:rPr>
          <w:rFonts w:ascii="Times New Roman" w:eastAsia="Times New Roman" w:hAnsi="Times New Roman" w:cs="Times New Roman"/>
        </w:rPr>
        <w:t xml:space="preserve">Using probability theory, it is possible to forecast </w:t>
      </w:r>
      <w:r>
        <w:rPr>
          <w:rFonts w:ascii="Times New Roman" w:eastAsia="Times New Roman" w:hAnsi="Times New Roman" w:cs="Times New Roman"/>
          <w:b/>
          <w:bCs/>
        </w:rPr>
        <w:t>Expected Value</w:t>
      </w:r>
      <w:r>
        <w:rPr>
          <w:rFonts w:ascii="Times New Roman" w:eastAsia="Times New Roman" w:hAnsi="Times New Roman" w:cs="Times New Roman"/>
        </w:rPr>
        <w:t xml:space="preserve"> (likelihood) in real world units, based upon the number of third parties that could expose data. Unfortunately our organization was not able to independently generate a list of third parties that could expose sensitive data, but it is possible to estimate the number of third parties based upon the average number of employees for a company of our size. The average for a company with 1000</w:t>
      </w:r>
      <w:r>
        <w:rPr>
          <w:rFonts w:ascii="Times New Roman" w:eastAsia="Times New Roman" w:hAnsi="Times New Roman" w:cs="Times New Roman"/>
          <w:color w:val="0000FF"/>
        </w:rPr>
        <w:t>(replace with your value)</w:t>
      </w:r>
      <w:r>
        <w:rPr>
          <w:rFonts w:ascii="Times New Roman" w:eastAsia="Times New Roman" w:hAnsi="Times New Roman" w:cs="Times New Roman"/>
        </w:rPr>
        <w:t xml:space="preserve"> employees is 100</w:t>
      </w:r>
      <w:r>
        <w:rPr>
          <w:rFonts w:ascii="Times New Roman" w:eastAsia="Times New Roman" w:hAnsi="Times New Roman" w:cs="Times New Roman"/>
          <w:color w:val="0000FF"/>
        </w:rPr>
        <w:t>(replace with your value)</w:t>
      </w:r>
      <w:r>
        <w:rPr>
          <w:rFonts w:ascii="Times New Roman" w:eastAsia="Times New Roman" w:hAnsi="Times New Roman" w:cs="Times New Roman"/>
        </w:rPr>
        <w:t xml:space="preserve"> third parties.  We estimate an Expected Value of 6.6% which equates to a third-party breach every (15 years)</w:t>
      </w:r>
      <w:r>
        <w:rPr>
          <w:rFonts w:ascii="Times New Roman" w:eastAsia="Times New Roman" w:hAnsi="Times New Roman" w:cs="Times New Roman"/>
          <w:color w:val="0000FF"/>
        </w:rPr>
        <w:t>(replace with your value)</w:t>
      </w:r>
      <w:r>
        <w:rPr>
          <w:rFonts w:ascii="Times New Roman" w:eastAsia="Times New Roman" w:hAnsi="Times New Roman" w:cs="Times New Roman"/>
        </w:rPr>
        <w:t>on average, based upon 100</w:t>
      </w:r>
      <w:r>
        <w:rPr>
          <w:rFonts w:ascii="Times New Roman" w:eastAsia="Times New Roman" w:hAnsi="Times New Roman" w:cs="Times New Roman"/>
          <w:color w:val="0000FF"/>
        </w:rPr>
        <w:t>(replace with your value)</w:t>
      </w:r>
      <w:r>
        <w:rPr>
          <w:rFonts w:ascii="Times New Roman" w:eastAsia="Times New Roman" w:hAnsi="Times New Roman" w:cs="Times New Roman"/>
        </w:rPr>
        <w:t xml:space="preserve"> third parties. </w:t>
      </w:r>
    </w:p>
    <w:tbl>
      <w:tblPr>
        <w:tblStyle w:val="a1"/>
        <w:tblW w:w="744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1530"/>
        <w:gridCol w:w="2797"/>
      </w:tblGrid>
      <w:tr w:rsidR="000D67A3" w14:paraId="579B5E08" w14:textId="77777777">
        <w:trPr>
          <w:tblHeader/>
        </w:trPr>
        <w:tc>
          <w:tcPr>
            <w:tcW w:w="3120" w:type="dxa"/>
            <w:tcMar>
              <w:top w:w="100" w:type="dxa"/>
              <w:left w:w="100" w:type="dxa"/>
              <w:bottom w:w="100" w:type="dxa"/>
              <w:right w:w="100" w:type="dxa"/>
            </w:tcMar>
          </w:tcPr>
          <w:p w14:paraId="5B8BC150" w14:textId="77777777" w:rsidR="000D67A3" w:rsidRDefault="00000000">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Mean years between breaches</w:t>
            </w:r>
          </w:p>
        </w:tc>
        <w:tc>
          <w:tcPr>
            <w:tcW w:w="1530" w:type="dxa"/>
            <w:tcMar>
              <w:top w:w="100" w:type="dxa"/>
              <w:left w:w="100" w:type="dxa"/>
              <w:bottom w:w="100" w:type="dxa"/>
              <w:right w:w="100" w:type="dxa"/>
            </w:tcMar>
          </w:tcPr>
          <w:p w14:paraId="1B83FDA5" w14:textId="77777777" w:rsidR="000D67A3" w:rsidRDefault="00000000">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50% chance</w:t>
            </w:r>
          </w:p>
        </w:tc>
        <w:tc>
          <w:tcPr>
            <w:tcW w:w="2797" w:type="dxa"/>
            <w:tcMar>
              <w:top w:w="100" w:type="dxa"/>
              <w:left w:w="100" w:type="dxa"/>
              <w:bottom w:w="100" w:type="dxa"/>
              <w:right w:w="100" w:type="dxa"/>
            </w:tcMar>
          </w:tcPr>
          <w:p w14:paraId="31A665C7" w14:textId="77777777" w:rsidR="000D67A3" w:rsidRDefault="00000000">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30% chance (one in three)</w:t>
            </w:r>
          </w:p>
        </w:tc>
      </w:tr>
      <w:tr w:rsidR="000D67A3" w14:paraId="5D70FDC1" w14:textId="77777777">
        <w:tc>
          <w:tcPr>
            <w:tcW w:w="3120" w:type="dxa"/>
            <w:tcMar>
              <w:top w:w="100" w:type="dxa"/>
              <w:left w:w="100" w:type="dxa"/>
              <w:bottom w:w="100" w:type="dxa"/>
              <w:right w:w="100" w:type="dxa"/>
            </w:tcMar>
          </w:tcPr>
          <w:p w14:paraId="7E733178" w14:textId="77777777" w:rsidR="000D67A3" w:rsidRDefault="00000000">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15</w:t>
            </w:r>
            <w:r>
              <w:rPr>
                <w:rFonts w:ascii="Times New Roman" w:eastAsia="Times New Roman" w:hAnsi="Times New Roman" w:cs="Times New Roman"/>
                <w:color w:val="0000FF"/>
              </w:rPr>
              <w:t>(replace with your value)</w:t>
            </w:r>
          </w:p>
        </w:tc>
        <w:tc>
          <w:tcPr>
            <w:tcW w:w="1530" w:type="dxa"/>
            <w:tcMar>
              <w:top w:w="100" w:type="dxa"/>
              <w:left w:w="100" w:type="dxa"/>
              <w:bottom w:w="100" w:type="dxa"/>
              <w:right w:w="100" w:type="dxa"/>
            </w:tcMar>
          </w:tcPr>
          <w:p w14:paraId="243DBD42" w14:textId="77777777" w:rsidR="000D67A3" w:rsidRDefault="00000000">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7.5</w:t>
            </w:r>
            <w:r>
              <w:rPr>
                <w:rFonts w:ascii="Times New Roman" w:eastAsia="Times New Roman" w:hAnsi="Times New Roman" w:cs="Times New Roman"/>
                <w:color w:val="0000FF"/>
              </w:rPr>
              <w:t>(replace with your value)</w:t>
            </w:r>
          </w:p>
        </w:tc>
        <w:tc>
          <w:tcPr>
            <w:tcW w:w="2797" w:type="dxa"/>
            <w:tcMar>
              <w:top w:w="100" w:type="dxa"/>
              <w:left w:w="100" w:type="dxa"/>
              <w:bottom w:w="100" w:type="dxa"/>
              <w:right w:w="100" w:type="dxa"/>
            </w:tcMar>
          </w:tcPr>
          <w:p w14:paraId="6F925FC5" w14:textId="77777777" w:rsidR="000D67A3" w:rsidRDefault="00000000">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5 years</w:t>
            </w:r>
            <w:r>
              <w:rPr>
                <w:rFonts w:ascii="Times New Roman" w:eastAsia="Times New Roman" w:hAnsi="Times New Roman" w:cs="Times New Roman"/>
                <w:color w:val="0000FF"/>
              </w:rPr>
              <w:t>(replace with your value)</w:t>
            </w:r>
          </w:p>
        </w:tc>
      </w:tr>
    </w:tbl>
    <w:p w14:paraId="52C3B240" w14:textId="77777777" w:rsidR="000D67A3" w:rsidRDefault="00000000">
      <w:pPr>
        <w:spacing w:before="280" w:after="280" w:line="240" w:lineRule="auto"/>
        <w:rPr>
          <w:rFonts w:ascii="Times New Roman" w:eastAsia="Times New Roman" w:hAnsi="Times New Roman" w:cs="Times New Roman"/>
          <w:color w:val="0000FF"/>
        </w:rPr>
      </w:pPr>
      <w:r>
        <w:rPr>
          <w:rFonts w:ascii="Times New Roman" w:eastAsia="Times New Roman" w:hAnsi="Times New Roman" w:cs="Times New Roman"/>
          <w:color w:val="0000FF"/>
        </w:rPr>
        <w:t>Section 2</w:t>
      </w:r>
    </w:p>
    <w:p w14:paraId="389A129F" w14:textId="77777777" w:rsidR="000D67A3" w:rsidRDefault="00000000">
      <w:pPr>
        <w:spacing w:before="280" w:after="280" w:line="240" w:lineRule="auto"/>
        <w:jc w:val="both"/>
        <w:rPr>
          <w:rFonts w:ascii="Times New Roman" w:eastAsia="Times New Roman" w:hAnsi="Times New Roman" w:cs="Times New Roman"/>
        </w:rPr>
      </w:pPr>
      <w:r>
        <w:rPr>
          <w:rFonts w:ascii="Times New Roman" w:eastAsia="Times New Roman" w:hAnsi="Times New Roman" w:cs="Times New Roman"/>
        </w:rPr>
        <w:t xml:space="preserve">Using probability theory, it is possible to forecast </w:t>
      </w:r>
      <w:r>
        <w:rPr>
          <w:rFonts w:ascii="Times New Roman" w:eastAsia="Times New Roman" w:hAnsi="Times New Roman" w:cs="Times New Roman"/>
          <w:b/>
          <w:bCs/>
        </w:rPr>
        <w:t>Expected Value</w:t>
      </w:r>
      <w:r>
        <w:rPr>
          <w:rFonts w:ascii="Times New Roman" w:eastAsia="Times New Roman" w:hAnsi="Times New Roman" w:cs="Times New Roman"/>
        </w:rPr>
        <w:t xml:space="preserve"> (likelihood) in real world units, based upon the number of third parties that could expose data. Our organization does not accurately track the amount of data, so we have calculated Expected Value for a third party breach of any size. I estimate an Expected Value of 6.6% which equates to a third-party breach every  (15 years) </w:t>
      </w:r>
      <w:r>
        <w:rPr>
          <w:rFonts w:ascii="Times New Roman" w:eastAsia="Times New Roman" w:hAnsi="Times New Roman" w:cs="Times New Roman"/>
          <w:color w:val="0000FF"/>
        </w:rPr>
        <w:lastRenderedPageBreak/>
        <w:t>(replace with your value)</w:t>
      </w:r>
      <w:r>
        <w:rPr>
          <w:rFonts w:ascii="Times New Roman" w:eastAsia="Times New Roman" w:hAnsi="Times New Roman" w:cs="Times New Roman"/>
        </w:rPr>
        <w:t xml:space="preserve"> on average, based upon 100</w:t>
      </w:r>
      <w:r>
        <w:rPr>
          <w:rFonts w:ascii="Times New Roman" w:eastAsia="Times New Roman" w:hAnsi="Times New Roman" w:cs="Times New Roman"/>
          <w:color w:val="0000FF"/>
        </w:rPr>
        <w:t>(replace with your value)</w:t>
      </w:r>
      <w:r>
        <w:rPr>
          <w:rFonts w:ascii="Times New Roman" w:eastAsia="Times New Roman" w:hAnsi="Times New Roman" w:cs="Times New Roman"/>
        </w:rPr>
        <w:t xml:space="preserve"> third parties that have been identified as having sensitive data that could be exposed in the event of a third-party breach. </w:t>
      </w:r>
    </w:p>
    <w:tbl>
      <w:tblPr>
        <w:tblStyle w:val="a2"/>
        <w:tblW w:w="744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1530"/>
        <w:gridCol w:w="2797"/>
      </w:tblGrid>
      <w:tr w:rsidR="000D67A3" w14:paraId="006B9CC8" w14:textId="77777777">
        <w:tc>
          <w:tcPr>
            <w:tcW w:w="3120" w:type="dxa"/>
            <w:tcMar>
              <w:top w:w="100" w:type="dxa"/>
              <w:left w:w="100" w:type="dxa"/>
              <w:bottom w:w="100" w:type="dxa"/>
              <w:right w:w="100" w:type="dxa"/>
            </w:tcMar>
          </w:tcPr>
          <w:p w14:paraId="09C941A5" w14:textId="77777777" w:rsidR="000D67A3" w:rsidRDefault="00000000">
            <w:pPr>
              <w:widowControl w:val="0"/>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Mean years between breaches</w:t>
            </w:r>
          </w:p>
        </w:tc>
        <w:tc>
          <w:tcPr>
            <w:tcW w:w="1530" w:type="dxa"/>
            <w:tcMar>
              <w:top w:w="100" w:type="dxa"/>
              <w:left w:w="100" w:type="dxa"/>
              <w:bottom w:w="100" w:type="dxa"/>
              <w:right w:w="100" w:type="dxa"/>
            </w:tcMar>
          </w:tcPr>
          <w:p w14:paraId="08E80F4B" w14:textId="77777777" w:rsidR="000D67A3" w:rsidRDefault="00000000">
            <w:pPr>
              <w:widowControl w:val="0"/>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50% chance</w:t>
            </w:r>
          </w:p>
        </w:tc>
        <w:tc>
          <w:tcPr>
            <w:tcW w:w="2797" w:type="dxa"/>
            <w:tcMar>
              <w:top w:w="100" w:type="dxa"/>
              <w:left w:w="100" w:type="dxa"/>
              <w:bottom w:w="100" w:type="dxa"/>
              <w:right w:w="100" w:type="dxa"/>
            </w:tcMar>
          </w:tcPr>
          <w:p w14:paraId="499F5423" w14:textId="77777777" w:rsidR="000D67A3" w:rsidRDefault="00000000">
            <w:pPr>
              <w:widowControl w:val="0"/>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30% chance (one in three)</w:t>
            </w:r>
          </w:p>
        </w:tc>
      </w:tr>
      <w:tr w:rsidR="000D67A3" w14:paraId="028692F4" w14:textId="77777777">
        <w:tc>
          <w:tcPr>
            <w:tcW w:w="3120" w:type="dxa"/>
            <w:tcMar>
              <w:top w:w="100" w:type="dxa"/>
              <w:left w:w="100" w:type="dxa"/>
              <w:bottom w:w="100" w:type="dxa"/>
              <w:right w:w="100" w:type="dxa"/>
            </w:tcMar>
          </w:tcPr>
          <w:p w14:paraId="3B6A64DF" w14:textId="77777777" w:rsidR="000D67A3" w:rsidRDefault="00000000">
            <w:pPr>
              <w:widowControl w:val="0"/>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15</w:t>
            </w:r>
            <w:r>
              <w:rPr>
                <w:rFonts w:ascii="Times New Roman" w:eastAsia="Times New Roman" w:hAnsi="Times New Roman" w:cs="Times New Roman"/>
                <w:color w:val="0000FF"/>
              </w:rPr>
              <w:t>(replace with your value)</w:t>
            </w:r>
          </w:p>
        </w:tc>
        <w:tc>
          <w:tcPr>
            <w:tcW w:w="1530" w:type="dxa"/>
            <w:tcMar>
              <w:top w:w="100" w:type="dxa"/>
              <w:left w:w="100" w:type="dxa"/>
              <w:bottom w:w="100" w:type="dxa"/>
              <w:right w:w="100" w:type="dxa"/>
            </w:tcMar>
          </w:tcPr>
          <w:p w14:paraId="7BAC8C09" w14:textId="77777777" w:rsidR="000D67A3" w:rsidRDefault="00000000">
            <w:pPr>
              <w:widowControl w:val="0"/>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7.5</w:t>
            </w:r>
            <w:r>
              <w:rPr>
                <w:rFonts w:ascii="Times New Roman" w:eastAsia="Times New Roman" w:hAnsi="Times New Roman" w:cs="Times New Roman"/>
                <w:color w:val="0000FF"/>
              </w:rPr>
              <w:t>(replace with your value)</w:t>
            </w:r>
          </w:p>
        </w:tc>
        <w:tc>
          <w:tcPr>
            <w:tcW w:w="2797" w:type="dxa"/>
            <w:tcMar>
              <w:top w:w="100" w:type="dxa"/>
              <w:left w:w="100" w:type="dxa"/>
              <w:bottom w:w="100" w:type="dxa"/>
              <w:right w:w="100" w:type="dxa"/>
            </w:tcMar>
          </w:tcPr>
          <w:p w14:paraId="25853673" w14:textId="77777777" w:rsidR="000D67A3" w:rsidRDefault="00000000">
            <w:pPr>
              <w:widowControl w:val="0"/>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5 years</w:t>
            </w:r>
            <w:r>
              <w:rPr>
                <w:rFonts w:ascii="Times New Roman" w:eastAsia="Times New Roman" w:hAnsi="Times New Roman" w:cs="Times New Roman"/>
                <w:color w:val="0000FF"/>
              </w:rPr>
              <w:t>(replace with your value)</w:t>
            </w:r>
          </w:p>
        </w:tc>
      </w:tr>
    </w:tbl>
    <w:p w14:paraId="7FC03E74" w14:textId="77777777" w:rsidR="000D67A3" w:rsidRDefault="00000000">
      <w:pPr>
        <w:spacing w:before="280" w:after="280" w:line="240" w:lineRule="auto"/>
        <w:rPr>
          <w:rFonts w:ascii="Times New Roman" w:eastAsia="Times New Roman" w:hAnsi="Times New Roman" w:cs="Times New Roman"/>
          <w:color w:val="0000FF"/>
        </w:rPr>
      </w:pPr>
      <w:r>
        <w:rPr>
          <w:rFonts w:ascii="Times New Roman" w:eastAsia="Times New Roman" w:hAnsi="Times New Roman" w:cs="Times New Roman"/>
          <w:color w:val="0000FF"/>
        </w:rPr>
        <w:t>Section 3</w:t>
      </w:r>
    </w:p>
    <w:p w14:paraId="0D28E19B" w14:textId="77777777" w:rsidR="000D67A3" w:rsidRDefault="00000000">
      <w:pPr>
        <w:spacing w:before="280" w:after="280" w:line="240" w:lineRule="auto"/>
        <w:jc w:val="both"/>
        <w:rPr>
          <w:rFonts w:ascii="Times New Roman" w:eastAsia="Times New Roman" w:hAnsi="Times New Roman" w:cs="Times New Roman"/>
        </w:rPr>
      </w:pPr>
      <w:r>
        <w:rPr>
          <w:rFonts w:ascii="Times New Roman" w:eastAsia="Times New Roman" w:hAnsi="Times New Roman" w:cs="Times New Roman"/>
        </w:rPr>
        <w:t xml:space="preserve">Using probability theory, it is possible to forecast </w:t>
      </w:r>
      <w:r>
        <w:rPr>
          <w:rFonts w:ascii="Times New Roman" w:eastAsia="Times New Roman" w:hAnsi="Times New Roman" w:cs="Times New Roman"/>
          <w:b/>
          <w:bCs/>
        </w:rPr>
        <w:t>Expected Value</w:t>
      </w:r>
      <w:r>
        <w:rPr>
          <w:rFonts w:ascii="Times New Roman" w:eastAsia="Times New Roman" w:hAnsi="Times New Roman" w:cs="Times New Roman"/>
        </w:rPr>
        <w:t xml:space="preserve"> (likelihood) in real world units, based upon the number of third parties that could expose data. I estimate an Expected Value of 6.6% which equates to a third-party data breach every (15 years)</w:t>
      </w:r>
      <w:r>
        <w:rPr>
          <w:rFonts w:ascii="Times New Roman" w:eastAsia="Times New Roman" w:hAnsi="Times New Roman" w:cs="Times New Roman"/>
          <w:color w:val="0000FF"/>
        </w:rPr>
        <w:t xml:space="preserve">(replace with your value) </w:t>
      </w:r>
      <w:r>
        <w:rPr>
          <w:rFonts w:ascii="Times New Roman" w:eastAsia="Times New Roman" w:hAnsi="Times New Roman" w:cs="Times New Roman"/>
        </w:rPr>
        <w:t>on average,</w:t>
      </w:r>
      <w:r>
        <w:rPr>
          <w:rFonts w:ascii="Times New Roman" w:eastAsia="Times New Roman" w:hAnsi="Times New Roman" w:cs="Times New Roman"/>
          <w:color w:val="0000FF"/>
        </w:rPr>
        <w:t xml:space="preserve"> </w:t>
      </w:r>
      <w:r>
        <w:rPr>
          <w:rFonts w:ascii="Times New Roman" w:eastAsia="Times New Roman" w:hAnsi="Times New Roman" w:cs="Times New Roman"/>
        </w:rPr>
        <w:t>based upon 100</w:t>
      </w:r>
      <w:r>
        <w:rPr>
          <w:rFonts w:ascii="Times New Roman" w:eastAsia="Times New Roman" w:hAnsi="Times New Roman" w:cs="Times New Roman"/>
          <w:color w:val="0000FF"/>
        </w:rPr>
        <w:t>(replace with your value)</w:t>
      </w:r>
      <w:r>
        <w:rPr>
          <w:rFonts w:ascii="Times New Roman" w:eastAsia="Times New Roman" w:hAnsi="Times New Roman" w:cs="Times New Roman"/>
        </w:rPr>
        <w:t xml:space="preserve"> third parties that have been identified as having sensitive data for 100,000 thousand </w:t>
      </w:r>
      <w:r>
        <w:rPr>
          <w:rFonts w:ascii="Times New Roman" w:eastAsia="Times New Roman" w:hAnsi="Times New Roman" w:cs="Times New Roman"/>
          <w:color w:val="0000FF"/>
        </w:rPr>
        <w:t>(replace with your value)</w:t>
      </w:r>
      <w:r>
        <w:rPr>
          <w:rFonts w:ascii="Times New Roman" w:eastAsia="Times New Roman" w:hAnsi="Times New Roman" w:cs="Times New Roman"/>
        </w:rPr>
        <w:t xml:space="preserve"> or more people and whose information could be exposed in the event of a third-party breach. </w:t>
      </w:r>
    </w:p>
    <w:tbl>
      <w:tblPr>
        <w:tblStyle w:val="a3"/>
        <w:tblW w:w="744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1530"/>
        <w:gridCol w:w="2797"/>
      </w:tblGrid>
      <w:tr w:rsidR="000D67A3" w14:paraId="6B2DDD94" w14:textId="77777777">
        <w:tc>
          <w:tcPr>
            <w:tcW w:w="3120" w:type="dxa"/>
            <w:tcMar>
              <w:top w:w="100" w:type="dxa"/>
              <w:left w:w="100" w:type="dxa"/>
              <w:bottom w:w="100" w:type="dxa"/>
              <w:right w:w="100" w:type="dxa"/>
            </w:tcMar>
          </w:tcPr>
          <w:p w14:paraId="7463AC48" w14:textId="77777777" w:rsidR="000D67A3" w:rsidRDefault="00000000">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Mean years between breaches</w:t>
            </w:r>
          </w:p>
        </w:tc>
        <w:tc>
          <w:tcPr>
            <w:tcW w:w="1530" w:type="dxa"/>
            <w:tcMar>
              <w:top w:w="100" w:type="dxa"/>
              <w:left w:w="100" w:type="dxa"/>
              <w:bottom w:w="100" w:type="dxa"/>
              <w:right w:w="100" w:type="dxa"/>
            </w:tcMar>
          </w:tcPr>
          <w:p w14:paraId="2ED5301B" w14:textId="77777777" w:rsidR="000D67A3" w:rsidRDefault="00000000">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50% chance</w:t>
            </w:r>
          </w:p>
        </w:tc>
        <w:tc>
          <w:tcPr>
            <w:tcW w:w="2797" w:type="dxa"/>
            <w:tcMar>
              <w:top w:w="100" w:type="dxa"/>
              <w:left w:w="100" w:type="dxa"/>
              <w:bottom w:w="100" w:type="dxa"/>
              <w:right w:w="100" w:type="dxa"/>
            </w:tcMar>
          </w:tcPr>
          <w:p w14:paraId="43A34F81" w14:textId="77777777" w:rsidR="000D67A3" w:rsidRDefault="00000000">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30% chance (one in three)</w:t>
            </w:r>
          </w:p>
        </w:tc>
      </w:tr>
      <w:tr w:rsidR="000D67A3" w14:paraId="08D12340" w14:textId="77777777">
        <w:tc>
          <w:tcPr>
            <w:tcW w:w="3120" w:type="dxa"/>
            <w:tcMar>
              <w:top w:w="100" w:type="dxa"/>
              <w:left w:w="100" w:type="dxa"/>
              <w:bottom w:w="100" w:type="dxa"/>
              <w:right w:w="100" w:type="dxa"/>
            </w:tcMar>
          </w:tcPr>
          <w:p w14:paraId="599A6F2D" w14:textId="77777777" w:rsidR="000D67A3" w:rsidRDefault="00000000">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15</w:t>
            </w:r>
            <w:r>
              <w:rPr>
                <w:rFonts w:ascii="Times New Roman" w:eastAsia="Times New Roman" w:hAnsi="Times New Roman" w:cs="Times New Roman"/>
                <w:color w:val="0000FF"/>
              </w:rPr>
              <w:t>(replace with your value)</w:t>
            </w:r>
          </w:p>
        </w:tc>
        <w:tc>
          <w:tcPr>
            <w:tcW w:w="1530" w:type="dxa"/>
            <w:tcMar>
              <w:top w:w="100" w:type="dxa"/>
              <w:left w:w="100" w:type="dxa"/>
              <w:bottom w:w="100" w:type="dxa"/>
              <w:right w:w="100" w:type="dxa"/>
            </w:tcMar>
          </w:tcPr>
          <w:p w14:paraId="14A7E74B" w14:textId="77777777" w:rsidR="000D67A3" w:rsidRDefault="00000000">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7.5</w:t>
            </w:r>
            <w:r>
              <w:rPr>
                <w:rFonts w:ascii="Times New Roman" w:eastAsia="Times New Roman" w:hAnsi="Times New Roman" w:cs="Times New Roman"/>
                <w:color w:val="0000FF"/>
              </w:rPr>
              <w:t>(replace with your value)</w:t>
            </w:r>
          </w:p>
        </w:tc>
        <w:tc>
          <w:tcPr>
            <w:tcW w:w="2797" w:type="dxa"/>
            <w:tcMar>
              <w:top w:w="100" w:type="dxa"/>
              <w:left w:w="100" w:type="dxa"/>
              <w:bottom w:w="100" w:type="dxa"/>
              <w:right w:w="100" w:type="dxa"/>
            </w:tcMar>
          </w:tcPr>
          <w:p w14:paraId="0860E8D7" w14:textId="77777777" w:rsidR="000D67A3" w:rsidRDefault="00000000">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5 years</w:t>
            </w:r>
            <w:r>
              <w:rPr>
                <w:rFonts w:ascii="Times New Roman" w:eastAsia="Times New Roman" w:hAnsi="Times New Roman" w:cs="Times New Roman"/>
                <w:color w:val="0000FF"/>
              </w:rPr>
              <w:t>(replace with your value)</w:t>
            </w:r>
          </w:p>
        </w:tc>
      </w:tr>
    </w:tbl>
    <w:p w14:paraId="325FE1B3" w14:textId="77777777" w:rsidR="000D67A3" w:rsidRDefault="00000000">
      <w:pPr>
        <w:spacing w:before="280" w:after="28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36"/>
          <w:szCs w:val="36"/>
        </w:rPr>
        <w:t>2.2 Impact and Significance</w:t>
      </w:r>
    </w:p>
    <w:p w14:paraId="2362594F" w14:textId="77777777" w:rsidR="000D67A3" w:rsidRDefault="00000000">
      <w:pPr>
        <w:spacing w:before="280" w:after="280" w:line="240" w:lineRule="auto"/>
        <w:jc w:val="both"/>
        <w:rPr>
          <w:rFonts w:ascii="Times New Roman" w:eastAsia="Times New Roman" w:hAnsi="Times New Roman" w:cs="Times New Roman"/>
        </w:rPr>
      </w:pPr>
      <w:r>
        <w:rPr>
          <w:rFonts w:ascii="Times New Roman" w:eastAsia="Times New Roman" w:hAnsi="Times New Roman" w:cs="Times New Roman"/>
        </w:rPr>
        <w:t>The risk of a third‑party data breach presents multi‑category significance under the IIA framework, affecting Compliance, Financial Reporting, Operations, and Strategic Objectives. The impacts arise not only from a breach event itself but also from misunderstanding the underlying cause of such breaches and from organizational decisions made under that misunderstanding.</w:t>
      </w:r>
    </w:p>
    <w:p w14:paraId="0F08F7E8" w14:textId="77777777" w:rsidR="000D67A3" w:rsidRDefault="00000000">
      <w:pPr>
        <w:spacing w:before="280" w:after="280" w:line="240" w:lineRule="auto"/>
        <w:rPr>
          <w:rFonts w:ascii="Times New Roman" w:eastAsia="Times New Roman" w:hAnsi="Times New Roman" w:cs="Times New Roman"/>
        </w:rPr>
      </w:pPr>
      <w:r>
        <w:rPr>
          <w:rFonts w:ascii="Times New Roman" w:eastAsia="Times New Roman" w:hAnsi="Times New Roman" w:cs="Times New Roman"/>
          <w:b/>
          <w:bCs/>
          <w:sz w:val="28"/>
          <w:szCs w:val="28"/>
        </w:rPr>
        <w:t>2.2.1 Impact of a Third‑Party Breach</w:t>
      </w:r>
    </w:p>
    <w:p w14:paraId="661B2857" w14:textId="77777777" w:rsidR="000D67A3" w:rsidRDefault="00000000">
      <w:pPr>
        <w:spacing w:before="280" w:after="280" w:line="240" w:lineRule="auto"/>
        <w:jc w:val="both"/>
        <w:rPr>
          <w:rFonts w:ascii="Times New Roman" w:eastAsia="Times New Roman" w:hAnsi="Times New Roman" w:cs="Times New Roman"/>
        </w:rPr>
      </w:pPr>
      <w:r>
        <w:rPr>
          <w:rFonts w:ascii="Times New Roman" w:eastAsia="Times New Roman" w:hAnsi="Times New Roman" w:cs="Times New Roman"/>
        </w:rPr>
        <w:t>A reportable third‑party breach can result in substantial direct and indirect costs, including investigation and forensic analysis, customer and regulatory notification, privacy‑liability insurance claims, litigation and regulatory penalties, and reputational damage that may impair customer trust and long‑term strategic positioning. In addition, such a breach would likely materially affect financial reporting through breach‑related expenses, reserves, and disclosures.</w:t>
      </w:r>
    </w:p>
    <w:p w14:paraId="3AE78020" w14:textId="77777777" w:rsidR="000D67A3" w:rsidRDefault="00000000">
      <w:pPr>
        <w:spacing w:before="280" w:after="28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2.2.2 Impact of Misunderstanding the Cause of Breaches</w:t>
      </w:r>
    </w:p>
    <w:p w14:paraId="5E2B2264" w14:textId="77777777" w:rsidR="000D67A3" w:rsidRDefault="00000000">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 xml:space="preserve">A significant portion of the risk arises from </w:t>
      </w:r>
      <w:r>
        <w:rPr>
          <w:rFonts w:ascii="Times New Roman" w:eastAsia="Times New Roman" w:hAnsi="Times New Roman" w:cs="Times New Roman"/>
          <w:b/>
          <w:bCs/>
        </w:rPr>
        <w:t>misattributing the root cause of third‑party breaches</w:t>
      </w:r>
      <w:r>
        <w:rPr>
          <w:rFonts w:ascii="Times New Roman" w:eastAsia="Times New Roman" w:hAnsi="Times New Roman" w:cs="Times New Roman"/>
        </w:rPr>
        <w:t xml:space="preserve">. Current TPRM practices typically assume that breaches occur because a “weak link” </w:t>
      </w:r>
      <w:r>
        <w:rPr>
          <w:rFonts w:ascii="Times New Roman" w:eastAsia="Times New Roman" w:hAnsi="Times New Roman" w:cs="Times New Roman"/>
        </w:rPr>
        <w:lastRenderedPageBreak/>
        <w:t xml:space="preserve">vendor failed due diligence. In reality, probability theory shows that the dominant driver of breach likelihood is the </w:t>
      </w:r>
      <w:r>
        <w:rPr>
          <w:rFonts w:ascii="Times New Roman" w:eastAsia="Times New Roman" w:hAnsi="Times New Roman" w:cs="Times New Roman"/>
          <w:b/>
          <w:bCs/>
        </w:rPr>
        <w:t>number of third parties with access to sensitive data</w:t>
      </w:r>
      <w:r>
        <w:rPr>
          <w:rFonts w:ascii="Times New Roman" w:eastAsia="Times New Roman" w:hAnsi="Times New Roman" w:cs="Times New Roman"/>
        </w:rPr>
        <w:t>, not the individual strength of any single vendor.</w:t>
      </w:r>
    </w:p>
    <w:p w14:paraId="37D33D35" w14:textId="77777777" w:rsidR="000D67A3" w:rsidRDefault="00000000">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 xml:space="preserve">When the systemic nature of the risk is understood, organizations can </w:t>
      </w:r>
      <w:r>
        <w:rPr>
          <w:rFonts w:ascii="Times New Roman" w:eastAsia="Times New Roman" w:hAnsi="Times New Roman" w:cs="Times New Roman"/>
          <w:b/>
          <w:bCs/>
        </w:rPr>
        <w:t>intentionally structure data exposure</w:t>
      </w:r>
      <w:r>
        <w:rPr>
          <w:rFonts w:ascii="Times New Roman" w:eastAsia="Times New Roman" w:hAnsi="Times New Roman" w:cs="Times New Roman"/>
        </w:rPr>
        <w:t xml:space="preserve">, ensuring that only a very small number of third parties have access to very large amounts of data, while a large number of third parties may have access to small amounts of sensitive data. Under these conditions, an occasional small breach is </w:t>
      </w:r>
      <w:r>
        <w:rPr>
          <w:rFonts w:ascii="Times New Roman" w:eastAsia="Times New Roman" w:hAnsi="Times New Roman" w:cs="Times New Roman"/>
          <w:b/>
          <w:bCs/>
        </w:rPr>
        <w:t>expected</w:t>
      </w:r>
      <w:r>
        <w:rPr>
          <w:rFonts w:ascii="Times New Roman" w:eastAsia="Times New Roman" w:hAnsi="Times New Roman" w:cs="Times New Roman"/>
        </w:rPr>
        <w:t>, mathematically predictable, and aligned with management‑approved risk levels. No preventive escalation is required; only routine corrective action is needed.</w:t>
      </w:r>
    </w:p>
    <w:p w14:paraId="3DDFDCCA" w14:textId="77777777" w:rsidR="000D67A3" w:rsidRDefault="00000000">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 xml:space="preserve">However, when the cause is misunderstood, organizations may misinterpret this expected small breach as a narrowly avoided catastrophic event. This leads to </w:t>
      </w:r>
      <w:r>
        <w:rPr>
          <w:rFonts w:ascii="Times New Roman" w:eastAsia="Times New Roman" w:hAnsi="Times New Roman" w:cs="Times New Roman"/>
          <w:b/>
          <w:bCs/>
        </w:rPr>
        <w:t>ineffective responses</w:t>
      </w:r>
      <w:r>
        <w:rPr>
          <w:rFonts w:ascii="Times New Roman" w:eastAsia="Times New Roman" w:hAnsi="Times New Roman" w:cs="Times New Roman"/>
        </w:rPr>
        <w:t xml:space="preserve">, such as doubling down on vendor‑by‑vendor due diligence, rather than recognizing that the small breach reflects the predictable behavior of a well‑managed system. As a result, resources are diverted away from the controls that actually matter—those that </w:t>
      </w:r>
      <w:r>
        <w:rPr>
          <w:rFonts w:ascii="Times New Roman" w:eastAsia="Times New Roman" w:hAnsi="Times New Roman" w:cs="Times New Roman"/>
          <w:b/>
          <w:bCs/>
        </w:rPr>
        <w:t>limit total data exposure</w:t>
      </w:r>
      <w:r>
        <w:rPr>
          <w:rFonts w:ascii="Times New Roman" w:eastAsia="Times New Roman" w:hAnsi="Times New Roman" w:cs="Times New Roman"/>
        </w:rPr>
        <w:t>—toward activities that do not meaningfully reduce systemic risk.</w:t>
      </w:r>
    </w:p>
    <w:p w14:paraId="5026169C" w14:textId="77777777" w:rsidR="000D67A3" w:rsidRDefault="00000000">
      <w:pPr>
        <w:spacing w:before="280" w:after="28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2.2.3 Impact of Limiting Third‑Party Use Due to Misperceived Risk</w:t>
      </w:r>
    </w:p>
    <w:p w14:paraId="603E47B8" w14:textId="77777777" w:rsidR="000D67A3" w:rsidRDefault="00000000">
      <w:pPr>
        <w:spacing w:before="280" w:after="280" w:line="240" w:lineRule="auto"/>
        <w:jc w:val="both"/>
        <w:rPr>
          <w:rFonts w:ascii="Times New Roman" w:eastAsia="Times New Roman" w:hAnsi="Times New Roman" w:cs="Times New Roman"/>
        </w:rPr>
      </w:pPr>
      <w:r>
        <w:rPr>
          <w:rFonts w:ascii="Times New Roman" w:eastAsia="Times New Roman" w:hAnsi="Times New Roman" w:cs="Times New Roman"/>
        </w:rPr>
        <w:t>Misunderstanding the systemic nature of the risk can also lead to an overly restrictive use of third parties, limiting operational flexibility and strategic innovation. Organizations may avoid beneficial third‑party solutions out of fear of a large‑scale breach, resulting in higher internal costs, slower adoption of modern capabilities, and reduced competitiveness. When the systemic risk is properly understood, organizations can safely expand third‑party usage by limiting shared data, obfuscating or encrypting sensitive information, and consolidating vendors where appropriate. For example, using encrypted platform configurations (such as enhanced versions of major SaaS systems) allows broader third‑party engagement while materially reducing exposure.</w:t>
      </w:r>
    </w:p>
    <w:p w14:paraId="50525102" w14:textId="77777777" w:rsidR="000D67A3" w:rsidRDefault="00000000">
      <w:pPr>
        <w:spacing w:before="280" w:after="280" w:line="240" w:lineRule="auto"/>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2.3 Current Controls</w:t>
      </w:r>
    </w:p>
    <w:p w14:paraId="00FA9A8A" w14:textId="77777777" w:rsidR="000D67A3" w:rsidRDefault="00000000">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 xml:space="preserve">A fundamental insight in cybersecurity is that </w:t>
      </w:r>
      <w:r>
        <w:rPr>
          <w:rFonts w:ascii="Times New Roman" w:eastAsia="Times New Roman" w:hAnsi="Times New Roman" w:cs="Times New Roman"/>
          <w:b/>
          <w:bCs/>
        </w:rPr>
        <w:t>probability—and therefore risk—increases with the number of opportunities for failure</w:t>
      </w:r>
      <w:r>
        <w:rPr>
          <w:rFonts w:ascii="Times New Roman" w:eastAsia="Times New Roman" w:hAnsi="Times New Roman" w:cs="Times New Roman"/>
        </w:rPr>
        <w:t xml:space="preserve">. This logic underpins both the </w:t>
      </w:r>
      <w:r>
        <w:rPr>
          <w:rFonts w:ascii="Times New Roman" w:eastAsia="Times New Roman" w:hAnsi="Times New Roman" w:cs="Times New Roman"/>
          <w:b/>
          <w:bCs/>
        </w:rPr>
        <w:t>Principle of Least Privilege (</w:t>
      </w:r>
      <w:proofErr w:type="spellStart"/>
      <w:r>
        <w:rPr>
          <w:rFonts w:ascii="Times New Roman" w:eastAsia="Times New Roman" w:hAnsi="Times New Roman" w:cs="Times New Roman"/>
          <w:b/>
          <w:bCs/>
        </w:rPr>
        <w:t>PoLP</w:t>
      </w:r>
      <w:proofErr w:type="spellEnd"/>
      <w:r>
        <w:rPr>
          <w:rFonts w:ascii="Times New Roman" w:eastAsia="Times New Roman" w:hAnsi="Times New Roman" w:cs="Times New Roman"/>
          <w:b/>
          <w:bCs/>
        </w:rPr>
        <w:t>)</w:t>
      </w:r>
      <w:r>
        <w:rPr>
          <w:rFonts w:ascii="Times New Roman" w:eastAsia="Times New Roman" w:hAnsi="Times New Roman" w:cs="Times New Roman"/>
        </w:rPr>
        <w:t xml:space="preserve"> and the </w:t>
      </w:r>
      <w:r>
        <w:rPr>
          <w:rFonts w:ascii="Times New Roman" w:eastAsia="Times New Roman" w:hAnsi="Times New Roman" w:cs="Times New Roman"/>
          <w:b/>
          <w:bCs/>
        </w:rPr>
        <w:t>Data Minimization Principle</w:t>
      </w:r>
      <w:r>
        <w:rPr>
          <w:rFonts w:ascii="Times New Roman" w:eastAsia="Times New Roman" w:hAnsi="Times New Roman" w:cs="Times New Roman"/>
        </w:rPr>
        <w:t>, both of which seek to reduce opportunities for high impact events.</w:t>
      </w:r>
    </w:p>
    <w:p w14:paraId="29074752" w14:textId="77777777" w:rsidR="000D67A3" w:rsidRDefault="00000000">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However, this same logic has been overlooked when it comes to exposure of sensitive data shared with third parties. All frameworks and most regulators</w:t>
      </w:r>
      <w:r>
        <w:rPr>
          <w:rFonts w:ascii="Times New Roman" w:eastAsia="Times New Roman" w:hAnsi="Times New Roman" w:cs="Times New Roman"/>
          <w:vertAlign w:val="superscript"/>
        </w:rPr>
        <w:footnoteReference w:id="4"/>
      </w:r>
      <w:r>
        <w:rPr>
          <w:rFonts w:ascii="Times New Roman" w:eastAsia="Times New Roman" w:hAnsi="Times New Roman" w:cs="Times New Roman"/>
        </w:rPr>
        <w:t xml:space="preserve"> overlook the </w:t>
      </w:r>
      <w:r>
        <w:rPr>
          <w:rFonts w:ascii="Times New Roman" w:eastAsia="Times New Roman" w:hAnsi="Times New Roman" w:cs="Times New Roman"/>
          <w:b/>
          <w:bCs/>
        </w:rPr>
        <w:t>aggregate risk</w:t>
      </w:r>
      <w:r>
        <w:rPr>
          <w:rFonts w:ascii="Times New Roman" w:eastAsia="Times New Roman" w:hAnsi="Times New Roman" w:cs="Times New Roman"/>
        </w:rPr>
        <w:t xml:space="preserve"> created by the </w:t>
      </w:r>
      <w:r>
        <w:rPr>
          <w:rFonts w:ascii="Times New Roman" w:eastAsia="Times New Roman" w:hAnsi="Times New Roman" w:cs="Times New Roman"/>
          <w:i/>
          <w:iCs/>
        </w:rPr>
        <w:t>number</w:t>
      </w:r>
      <w:r>
        <w:rPr>
          <w:rFonts w:ascii="Times New Roman" w:eastAsia="Times New Roman" w:hAnsi="Times New Roman" w:cs="Times New Roman"/>
        </w:rPr>
        <w:t xml:space="preserve"> of external entities holding sensitive data. Even the IIA’s </w:t>
      </w:r>
      <w:r>
        <w:rPr>
          <w:rFonts w:ascii="Times New Roman" w:eastAsia="Times New Roman" w:hAnsi="Times New Roman" w:cs="Times New Roman"/>
          <w:b/>
          <w:bCs/>
        </w:rPr>
        <w:t>Third‑Party Topical Requirement (2025)</w:t>
      </w:r>
      <w:r>
        <w:rPr>
          <w:rFonts w:ascii="Times New Roman" w:eastAsia="Times New Roman" w:hAnsi="Times New Roman" w:cs="Times New Roman"/>
        </w:rPr>
        <w:t xml:space="preserve"> does not address this systemic exposure.</w:t>
      </w:r>
    </w:p>
    <w:p w14:paraId="1747EE8F" w14:textId="77777777" w:rsidR="000D67A3" w:rsidRDefault="00000000">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As a result, existing TPRM programs concentrate on controls such as:</w:t>
      </w:r>
    </w:p>
    <w:p w14:paraId="3D9793CB" w14:textId="77777777" w:rsidR="000D67A3" w:rsidRDefault="00000000">
      <w:pPr>
        <w:numPr>
          <w:ilvl w:val="0"/>
          <w:numId w:val="5"/>
        </w:numPr>
        <w:spacing w:before="240" w:after="0" w:line="240" w:lineRule="auto"/>
        <w:rPr>
          <w:rFonts w:ascii="Times New Roman" w:eastAsia="Times New Roman" w:hAnsi="Times New Roman" w:cs="Times New Roman"/>
        </w:rPr>
      </w:pPr>
      <w:r>
        <w:rPr>
          <w:rFonts w:ascii="Times New Roman" w:eastAsia="Times New Roman" w:hAnsi="Times New Roman" w:cs="Times New Roman"/>
        </w:rPr>
        <w:lastRenderedPageBreak/>
        <w:t>vendor due diligence</w:t>
      </w:r>
    </w:p>
    <w:p w14:paraId="7B0D988A" w14:textId="77777777" w:rsidR="000D67A3" w:rsidRDefault="00000000">
      <w:pPr>
        <w:numPr>
          <w:ilvl w:val="0"/>
          <w:numId w:val="5"/>
        </w:numPr>
        <w:spacing w:after="0" w:line="240" w:lineRule="auto"/>
        <w:rPr>
          <w:rFonts w:ascii="Times New Roman" w:eastAsia="Times New Roman" w:hAnsi="Times New Roman" w:cs="Times New Roman"/>
        </w:rPr>
      </w:pPr>
      <w:r>
        <w:rPr>
          <w:rFonts w:ascii="Times New Roman" w:eastAsia="Times New Roman" w:hAnsi="Times New Roman" w:cs="Times New Roman"/>
        </w:rPr>
        <w:t>SOC 2 reviews</w:t>
      </w:r>
    </w:p>
    <w:p w14:paraId="53A1DACC" w14:textId="77777777" w:rsidR="000D67A3" w:rsidRDefault="00000000">
      <w:pPr>
        <w:numPr>
          <w:ilvl w:val="0"/>
          <w:numId w:val="5"/>
        </w:numPr>
        <w:spacing w:after="0" w:line="240" w:lineRule="auto"/>
        <w:rPr>
          <w:rFonts w:ascii="Times New Roman" w:eastAsia="Times New Roman" w:hAnsi="Times New Roman" w:cs="Times New Roman"/>
        </w:rPr>
      </w:pPr>
      <w:r>
        <w:rPr>
          <w:rFonts w:ascii="Times New Roman" w:eastAsia="Times New Roman" w:hAnsi="Times New Roman" w:cs="Times New Roman"/>
        </w:rPr>
        <w:t>security questionnaires</w:t>
      </w:r>
    </w:p>
    <w:p w14:paraId="035396E9" w14:textId="77777777" w:rsidR="000D67A3" w:rsidRDefault="00000000">
      <w:pPr>
        <w:numPr>
          <w:ilvl w:val="0"/>
          <w:numId w:val="5"/>
        </w:numPr>
        <w:spacing w:after="240" w:line="240" w:lineRule="auto"/>
        <w:rPr>
          <w:rFonts w:ascii="Times New Roman" w:eastAsia="Times New Roman" w:hAnsi="Times New Roman" w:cs="Times New Roman"/>
        </w:rPr>
      </w:pPr>
      <w:r>
        <w:rPr>
          <w:rFonts w:ascii="Times New Roman" w:eastAsia="Times New Roman" w:hAnsi="Times New Roman" w:cs="Times New Roman"/>
        </w:rPr>
        <w:t>contractual requirements</w:t>
      </w:r>
    </w:p>
    <w:p w14:paraId="38D1111B" w14:textId="77777777" w:rsidR="000D67A3" w:rsidRDefault="00000000">
      <w:pPr>
        <w:spacing w:before="240" w:after="240" w:line="240" w:lineRule="auto"/>
        <w:rPr>
          <w:rFonts w:ascii="Times New Roman" w:eastAsia="Times New Roman" w:hAnsi="Times New Roman" w:cs="Times New Roman"/>
        </w:rPr>
      </w:pPr>
      <w:r>
        <w:rPr>
          <w:rFonts w:ascii="Times New Roman" w:eastAsia="Times New Roman" w:hAnsi="Times New Roman" w:cs="Times New Roman"/>
        </w:rPr>
        <w:t xml:space="preserve">While important, these controls do </w:t>
      </w:r>
      <w:r>
        <w:rPr>
          <w:rFonts w:ascii="Times New Roman" w:eastAsia="Times New Roman" w:hAnsi="Times New Roman" w:cs="Times New Roman"/>
          <w:b/>
          <w:bCs/>
        </w:rPr>
        <w:t>not</w:t>
      </w:r>
      <w:r>
        <w:rPr>
          <w:rFonts w:ascii="Times New Roman" w:eastAsia="Times New Roman" w:hAnsi="Times New Roman" w:cs="Times New Roman"/>
        </w:rPr>
        <w:t xml:space="preserve"> address the </w:t>
      </w:r>
      <w:r>
        <w:rPr>
          <w:rFonts w:ascii="Times New Roman" w:eastAsia="Times New Roman" w:hAnsi="Times New Roman" w:cs="Times New Roman"/>
          <w:b/>
          <w:bCs/>
        </w:rPr>
        <w:t>aggregate risk</w:t>
      </w:r>
      <w:r>
        <w:rPr>
          <w:rFonts w:ascii="Times New Roman" w:eastAsia="Times New Roman" w:hAnsi="Times New Roman" w:cs="Times New Roman"/>
        </w:rPr>
        <w:t xml:space="preserve"> created by the sheer number of third parties with access to sensitive data.</w:t>
      </w:r>
    </w:p>
    <w:p w14:paraId="478A15F2" w14:textId="77777777" w:rsidR="000D67A3" w:rsidRDefault="00000000">
      <w:pPr>
        <w:spacing w:before="280" w:after="280" w:line="240" w:lineRule="auto"/>
        <w:rPr>
          <w:rFonts w:ascii="Times New Roman" w:eastAsia="Times New Roman" w:hAnsi="Times New Roman" w:cs="Times New Roman"/>
          <w:b/>
          <w:bCs/>
          <w:sz w:val="48"/>
          <w:szCs w:val="48"/>
        </w:rPr>
      </w:pPr>
      <w:r>
        <w:rPr>
          <w:rFonts w:ascii="Times New Roman" w:eastAsia="Times New Roman" w:hAnsi="Times New Roman" w:cs="Times New Roman"/>
          <w:b/>
          <w:bCs/>
          <w:sz w:val="48"/>
          <w:szCs w:val="48"/>
        </w:rPr>
        <w:t>3. Gap Analysis</w:t>
      </w:r>
    </w:p>
    <w:p w14:paraId="1778CD4B" w14:textId="77777777" w:rsidR="000D67A3" w:rsidRDefault="00000000">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 xml:space="preserve">Probability theory shows that the likelihood of a third‑party data breach can be forecast solely from the </w:t>
      </w:r>
      <w:r>
        <w:rPr>
          <w:rFonts w:ascii="Times New Roman" w:eastAsia="Times New Roman" w:hAnsi="Times New Roman" w:cs="Times New Roman"/>
          <w:b/>
          <w:bCs/>
        </w:rPr>
        <w:t>number of third parties capable of exposing sensitive data</w:t>
      </w:r>
      <w:r>
        <w:rPr>
          <w:rFonts w:ascii="Times New Roman" w:eastAsia="Times New Roman" w:hAnsi="Times New Roman" w:cs="Times New Roman"/>
          <w:b/>
          <w:bCs/>
          <w:vertAlign w:val="superscript"/>
        </w:rPr>
        <w:footnoteReference w:id="5"/>
      </w:r>
      <w:r>
        <w:rPr>
          <w:rFonts w:ascii="Times New Roman" w:eastAsia="Times New Roman" w:hAnsi="Times New Roman" w:cs="Times New Roman"/>
        </w:rPr>
        <w:t xml:space="preserve">. Accordingly, managing third‑party breach risk becomes a function of </w:t>
      </w:r>
      <w:r>
        <w:rPr>
          <w:rFonts w:ascii="Times New Roman" w:eastAsia="Times New Roman" w:hAnsi="Times New Roman" w:cs="Times New Roman"/>
          <w:b/>
          <w:bCs/>
        </w:rPr>
        <w:t>controlling the number of external entities</w:t>
      </w:r>
      <w:r>
        <w:rPr>
          <w:rFonts w:ascii="Times New Roman" w:eastAsia="Times New Roman" w:hAnsi="Times New Roman" w:cs="Times New Roman"/>
        </w:rPr>
        <w:t xml:space="preserve"> relative to the </w:t>
      </w:r>
      <w:r>
        <w:rPr>
          <w:rFonts w:ascii="Times New Roman" w:eastAsia="Times New Roman" w:hAnsi="Times New Roman" w:cs="Times New Roman"/>
          <w:b/>
          <w:bCs/>
        </w:rPr>
        <w:t>amount of data each could expose</w:t>
      </w:r>
      <w:r>
        <w:rPr>
          <w:rFonts w:ascii="Times New Roman" w:eastAsia="Times New Roman" w:hAnsi="Times New Roman" w:cs="Times New Roman"/>
        </w:rPr>
        <w:t>.</w:t>
      </w:r>
    </w:p>
    <w:p w14:paraId="10686AB3" w14:textId="77777777" w:rsidR="000D67A3" w:rsidRDefault="00000000">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Current TPRM practices do not include controls designed to manage this aggregate, probability‑driven exposure. To address this gap, our organization should consider:</w:t>
      </w:r>
    </w:p>
    <w:p w14:paraId="10D20E33" w14:textId="77777777" w:rsidR="000D67A3" w:rsidRDefault="00000000">
      <w:pPr>
        <w:numPr>
          <w:ilvl w:val="0"/>
          <w:numId w:val="6"/>
        </w:numPr>
        <w:spacing w:before="240" w:after="0" w:line="240" w:lineRule="auto"/>
        <w:jc w:val="both"/>
        <w:rPr>
          <w:rFonts w:ascii="Times New Roman" w:eastAsia="Times New Roman" w:hAnsi="Times New Roman" w:cs="Times New Roman"/>
        </w:rPr>
      </w:pPr>
      <w:r>
        <w:rPr>
          <w:rFonts w:ascii="Times New Roman" w:eastAsia="Times New Roman" w:hAnsi="Times New Roman" w:cs="Times New Roman"/>
        </w:rPr>
        <w:t>an executive‑level committee to establish probability thresholds based on breach magnitude (measured by number of individuals affected)</w:t>
      </w:r>
    </w:p>
    <w:p w14:paraId="657784B4" w14:textId="77777777" w:rsidR="000D67A3" w:rsidRDefault="00000000">
      <w:pPr>
        <w:numPr>
          <w:ilvl w:val="0"/>
          <w:numId w:val="6"/>
        </w:numPr>
        <w:spacing w:after="240" w:line="240" w:lineRule="auto"/>
        <w:jc w:val="both"/>
        <w:rPr>
          <w:rFonts w:ascii="Times New Roman" w:eastAsia="Times New Roman" w:hAnsi="Times New Roman" w:cs="Times New Roman"/>
        </w:rPr>
      </w:pPr>
      <w:r>
        <w:rPr>
          <w:rFonts w:ascii="Times New Roman" w:eastAsia="Times New Roman" w:hAnsi="Times New Roman" w:cs="Times New Roman"/>
        </w:rPr>
        <w:t>processes to govern the allowable number of third parties as a function of potential breach size, to remain within these thresholds.</w:t>
      </w:r>
    </w:p>
    <w:p w14:paraId="352AE6DA" w14:textId="77777777" w:rsidR="000D67A3" w:rsidRDefault="00000000">
      <w:pPr>
        <w:spacing w:before="280" w:after="280" w:line="240" w:lineRule="auto"/>
        <w:rPr>
          <w:rFonts w:ascii="Times New Roman" w:eastAsia="Times New Roman" w:hAnsi="Times New Roman" w:cs="Times New Roman"/>
          <w:b/>
          <w:bCs/>
          <w:sz w:val="48"/>
          <w:szCs w:val="48"/>
        </w:rPr>
      </w:pPr>
      <w:r>
        <w:rPr>
          <w:rFonts w:ascii="Times New Roman" w:eastAsia="Times New Roman" w:hAnsi="Times New Roman" w:cs="Times New Roman"/>
          <w:b/>
          <w:bCs/>
          <w:sz w:val="48"/>
          <w:szCs w:val="48"/>
        </w:rPr>
        <w:t>4. Recommendation</w:t>
      </w:r>
    </w:p>
    <w:p w14:paraId="49E6FD88" w14:textId="77777777" w:rsidR="000D67A3" w:rsidRDefault="00000000">
      <w:pPr>
        <w:spacing w:before="280" w:after="280" w:line="240" w:lineRule="auto"/>
        <w:rPr>
          <w:rFonts w:ascii="Times New Roman" w:eastAsia="Times New Roman" w:hAnsi="Times New Roman" w:cs="Times New Roman"/>
        </w:rPr>
      </w:pPr>
      <w:r>
        <w:rPr>
          <w:rFonts w:ascii="Times New Roman" w:eastAsia="Times New Roman" w:hAnsi="Times New Roman" w:cs="Times New Roman"/>
        </w:rPr>
        <w:t>We recommend that the Chief Audit Executive:</w:t>
      </w:r>
    </w:p>
    <w:p w14:paraId="3D99170F" w14:textId="77777777" w:rsidR="000D67A3" w:rsidRDefault="00000000">
      <w:pPr>
        <w:numPr>
          <w:ilvl w:val="0"/>
          <w:numId w:val="1"/>
        </w:numPr>
        <w:spacing w:before="280" w:after="0" w:line="240" w:lineRule="auto"/>
        <w:rPr>
          <w:rFonts w:ascii="Times New Roman" w:eastAsia="Times New Roman" w:hAnsi="Times New Roman" w:cs="Times New Roman"/>
        </w:rPr>
      </w:pPr>
      <w:r>
        <w:rPr>
          <w:rFonts w:ascii="Times New Roman" w:eastAsia="Times New Roman" w:hAnsi="Times New Roman" w:cs="Times New Roman"/>
        </w:rPr>
        <w:t xml:space="preserve">Read and understand </w:t>
      </w:r>
      <w:r>
        <w:rPr>
          <w:rFonts w:ascii="Times New Roman" w:eastAsia="Times New Roman" w:hAnsi="Times New Roman" w:cs="Times New Roman"/>
          <w:i/>
          <w:iCs/>
        </w:rPr>
        <w:t>Mathematical Basis of Third-Party Data Breach Risk</w:t>
      </w:r>
      <w:r>
        <w:rPr>
          <w:rFonts w:ascii="Times New Roman" w:eastAsia="Times New Roman" w:hAnsi="Times New Roman" w:cs="Times New Roman"/>
        </w:rPr>
        <w:t xml:space="preserve">, Pages 22 through 28, in </w:t>
      </w:r>
      <w:r>
        <w:rPr>
          <w:rFonts w:ascii="Times New Roman" w:eastAsia="Times New Roman" w:hAnsi="Times New Roman" w:cs="Times New Roman"/>
          <w:i/>
          <w:iCs/>
        </w:rPr>
        <w:t>How to Calculate Probability of a Third-Party Data Breach</w:t>
      </w:r>
      <w:r>
        <w:rPr>
          <w:rFonts w:ascii="Times New Roman" w:eastAsia="Times New Roman" w:hAnsi="Times New Roman" w:cs="Times New Roman"/>
        </w:rPr>
        <w:t>, Lee and Smith Sept 19, 2025</w:t>
      </w:r>
    </w:p>
    <w:p w14:paraId="35166D52" w14:textId="77777777" w:rsidR="000D67A3" w:rsidRDefault="00000000">
      <w:pPr>
        <w:numPr>
          <w:ilvl w:val="0"/>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Devise and execute a plan for Internal Audit to forecast and report this risk independent of the first or second line</w:t>
      </w:r>
    </w:p>
    <w:p w14:paraId="386CB895" w14:textId="77777777" w:rsidR="000D67A3" w:rsidRDefault="00000000">
      <w:pPr>
        <w:numPr>
          <w:ilvl w:val="0"/>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Communicate this emerging risk to executive management and the Audit Committee</w:t>
      </w:r>
    </w:p>
    <w:p w14:paraId="3DF20525" w14:textId="77777777" w:rsidR="000D67A3" w:rsidRDefault="00000000">
      <w:pPr>
        <w:numPr>
          <w:ilvl w:val="0"/>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Consider adding an audit or advisory engagement focused on:</w:t>
      </w:r>
    </w:p>
    <w:p w14:paraId="08BC2E31" w14:textId="77777777" w:rsidR="000D67A3" w:rsidRDefault="00000000">
      <w:pPr>
        <w:numPr>
          <w:ilvl w:val="1"/>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Quantifying cumulative breach probability</w:t>
      </w:r>
    </w:p>
    <w:p w14:paraId="3644C7CC" w14:textId="77777777" w:rsidR="000D67A3" w:rsidRDefault="00000000">
      <w:pPr>
        <w:numPr>
          <w:ilvl w:val="1"/>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Identifying data concentration across third parties</w:t>
      </w:r>
    </w:p>
    <w:p w14:paraId="07B1A738" w14:textId="77777777" w:rsidR="000D67A3" w:rsidRDefault="00000000">
      <w:pPr>
        <w:numPr>
          <w:ilvl w:val="1"/>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Assessing governance ownership for systemic third-party risk</w:t>
      </w:r>
    </w:p>
    <w:p w14:paraId="4568B51C" w14:textId="77777777" w:rsidR="000D67A3" w:rsidRDefault="00000000">
      <w:pPr>
        <w:numPr>
          <w:ilvl w:val="0"/>
          <w:numId w:val="1"/>
        </w:numPr>
        <w:spacing w:after="280" w:line="240" w:lineRule="auto"/>
        <w:rPr>
          <w:rFonts w:ascii="Times New Roman" w:eastAsia="Times New Roman" w:hAnsi="Times New Roman" w:cs="Times New Roman"/>
        </w:rPr>
      </w:pPr>
      <w:r>
        <w:rPr>
          <w:rFonts w:ascii="Times New Roman" w:eastAsia="Times New Roman" w:hAnsi="Times New Roman" w:cs="Times New Roman"/>
        </w:rPr>
        <w:t>Request that management develop a risk metric and assign ownership for aggregate exposure</w:t>
      </w:r>
    </w:p>
    <w:p w14:paraId="5CF8BBA0" w14:textId="77777777" w:rsidR="000D67A3" w:rsidRDefault="00000000">
      <w:pPr>
        <w:spacing w:before="280" w:after="280" w:line="240" w:lineRule="auto"/>
        <w:rPr>
          <w:rFonts w:ascii="Times New Roman" w:eastAsia="Times New Roman" w:hAnsi="Times New Roman" w:cs="Times New Roman"/>
          <w:b/>
          <w:bCs/>
          <w:sz w:val="48"/>
          <w:szCs w:val="48"/>
        </w:rPr>
      </w:pPr>
      <w:r>
        <w:rPr>
          <w:rFonts w:ascii="Times New Roman" w:eastAsia="Times New Roman" w:hAnsi="Times New Roman" w:cs="Times New Roman"/>
          <w:b/>
          <w:bCs/>
          <w:sz w:val="48"/>
          <w:szCs w:val="48"/>
        </w:rPr>
        <w:t>5. Conclusion</w:t>
      </w:r>
    </w:p>
    <w:p w14:paraId="4D42DBC4" w14:textId="77777777" w:rsidR="000D67A3" w:rsidRDefault="00000000">
      <w:pPr>
        <w:spacing w:before="280" w:after="28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The number of third parties with access to sensitive data creates a systemic, mathematically compounding risk that is not currently recognized or owned within the organization. In accordance with IIA Standards and the Internal Audit Charter, we recommend that you Internal formally elevate this risk for consideration by company management and the Board of Directors / Audit Committee.</w:t>
      </w:r>
    </w:p>
    <w:p w14:paraId="18F5C499" w14:textId="77777777" w:rsidR="000D67A3" w:rsidRDefault="000D67A3">
      <w:pPr>
        <w:spacing w:before="280" w:after="280" w:line="240" w:lineRule="auto"/>
        <w:jc w:val="both"/>
        <w:rPr>
          <w:rFonts w:ascii="Times New Roman" w:eastAsia="Times New Roman" w:hAnsi="Times New Roman" w:cs="Times New Roman"/>
        </w:rPr>
      </w:pPr>
    </w:p>
    <w:p w14:paraId="2783E59E" w14:textId="065821F8" w:rsidR="000D67A3" w:rsidRDefault="00000000">
      <w:pPr>
        <w:spacing w:before="280" w:after="280" w:line="240" w:lineRule="auto"/>
        <w:jc w:val="both"/>
        <w:rPr>
          <w:rFonts w:ascii="Times New Roman" w:eastAsia="Times New Roman" w:hAnsi="Times New Roman" w:cs="Times New Roman"/>
          <w:color w:val="0000FF"/>
        </w:rPr>
      </w:pPr>
      <w:r>
        <w:rPr>
          <w:rFonts w:ascii="Times New Roman" w:eastAsia="Times New Roman" w:hAnsi="Times New Roman" w:cs="Times New Roman"/>
          <w:color w:val="0000FF"/>
        </w:rPr>
        <w:t xml:space="preserve">The original draft of this memorandum was written by Tim Smith. Tim retired after 20 years with KPMG US and KPMG International, where he specialized in data and analytics for IT and financial audit. In the last part of his career, he focused on the design, testing, implementation, documentation and training for the data analytics modules of KPMG’s proprietary audit software, CLARA. He previously led the IT audit practice in the KPMG San Diego office, providing IT audit, Sarbanes-Oxley compliance assistance, computer-assisted audit to clients in multiple industries. He also spent four years as IT Audit Manager at LPL Financial, the nation’s largest independent Broker-Dealer, leading a team of IT auditors, managing work on a variety of IT, financial and regulatory compliance audits and special projects. Tim is a CPA (California) and a Certified Information Systems Auditor. He is a member of AICPA, California Society of CPAs, ISACA San Diego and IIA. Tim is a coauthor on the white paper: Thomas Lee and Timothy Smith (2025). </w:t>
      </w:r>
      <w:r>
        <w:rPr>
          <w:rFonts w:ascii="Times New Roman" w:eastAsia="Times New Roman" w:hAnsi="Times New Roman" w:cs="Times New Roman"/>
          <w:i/>
          <w:iCs/>
          <w:color w:val="0000FF"/>
        </w:rPr>
        <w:t>How to Calculate the Probability of a Third-Party Data Breach</w:t>
      </w:r>
      <w:r>
        <w:rPr>
          <w:rFonts w:ascii="Times New Roman" w:eastAsia="Times New Roman" w:hAnsi="Times New Roman" w:cs="Times New Roman"/>
          <w:color w:val="0000FF"/>
        </w:rPr>
        <w:t>.</w:t>
      </w:r>
      <w:r w:rsidR="00811719">
        <w:rPr>
          <w:rFonts w:ascii="Times New Roman" w:eastAsia="Times New Roman" w:hAnsi="Times New Roman" w:cs="Times New Roman"/>
          <w:color w:val="0000FF"/>
        </w:rPr>
        <w:t xml:space="preserve"> </w:t>
      </w:r>
      <w:r w:rsidR="00811719" w:rsidRPr="00811719">
        <w:rPr>
          <w:rFonts w:ascii="Times New Roman" w:eastAsia="Times New Roman" w:hAnsi="Times New Roman" w:cs="Times New Roman"/>
          <w:color w:val="0000FF"/>
        </w:rPr>
        <w:t>Tim can be reached at Tim@CPA4it.com.</w:t>
      </w:r>
    </w:p>
    <w:p w14:paraId="0A0CB58B" w14:textId="77777777" w:rsidR="000D67A3" w:rsidRDefault="000D67A3">
      <w:pPr>
        <w:spacing w:before="280" w:after="280" w:line="240" w:lineRule="auto"/>
        <w:jc w:val="both"/>
        <w:rPr>
          <w:rFonts w:ascii="Times New Roman" w:eastAsia="Times New Roman" w:hAnsi="Times New Roman" w:cs="Times New Roman"/>
        </w:rPr>
      </w:pPr>
    </w:p>
    <w:sectPr w:rsidR="000D67A3">
      <w:footerReference w:type="default" r:id="rId7"/>
      <w:footerReference w:type="first" r:id="rId8"/>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453818" w14:textId="77777777" w:rsidR="00B27B4B" w:rsidRDefault="00B27B4B">
      <w:pPr>
        <w:spacing w:after="0" w:line="240" w:lineRule="auto"/>
      </w:pPr>
      <w:r>
        <w:separator/>
      </w:r>
    </w:p>
  </w:endnote>
  <w:endnote w:type="continuationSeparator" w:id="0">
    <w:p w14:paraId="718E5D1C" w14:textId="77777777" w:rsidR="00B27B4B" w:rsidRDefault="00B27B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B430505-79D6-934E-87F0-4002A6B414ED}"/>
    <w:embedBold r:id="rId2" w:fontKey="{B8F8641C-18C5-D64D-AA9E-1B4EF069087D}"/>
    <w:embedItalic r:id="rId3" w:fontKey="{BCF57707-ACCD-6E4F-85A6-14DA563312E2}"/>
  </w:font>
  <w:font w:name="Noto Sans Symbols">
    <w:panose1 w:val="020B0604020202020204"/>
    <w:charset w:val="00"/>
    <w:family w:val="auto"/>
    <w:pitch w:val="default"/>
    <w:embedRegular r:id="rId4" w:fontKey="{53AC7197-9CCE-5646-A14F-BDCF1E00777B}"/>
  </w:font>
  <w:font w:name="Courier New">
    <w:panose1 w:val="02070309020205020404"/>
    <w:charset w:val="00"/>
    <w:family w:val="modern"/>
    <w:pitch w:val="fixed"/>
    <w:sig w:usb0="E0002EFF" w:usb1="C0007843" w:usb2="00000009" w:usb3="00000000" w:csb0="000001FF" w:csb1="00000000"/>
    <w:embedRegular r:id="rId5" w:fontKey="{0B70E8A7-6429-2A4F-9763-B10FB32975F8}"/>
  </w:font>
  <w:font w:name="Aptos">
    <w:panose1 w:val="020B0604020202020204"/>
    <w:charset w:val="00"/>
    <w:family w:val="swiss"/>
    <w:pitch w:val="variable"/>
    <w:sig w:usb0="20000287" w:usb1="00000003" w:usb2="00000000" w:usb3="00000000" w:csb0="0000019F" w:csb1="00000000"/>
    <w:embedRegular r:id="rId6" w:fontKey="{63027250-D57A-3049-9D68-FFC5EF59C628}"/>
    <w:embedItalic r:id="rId7" w:fontKey="{E31B0B21-0EDD-1041-82CF-02F1ACE7A1FB}"/>
  </w:font>
  <w:font w:name="Play">
    <w:panose1 w:val="04050603000602020202"/>
    <w:charset w:val="00"/>
    <w:family w:val="auto"/>
    <w:pitch w:val="default"/>
    <w:embedRegular r:id="rId8" w:fontKey="{0DF33898-2262-D247-8FC2-D59A6C8F5305}"/>
  </w:font>
  <w:font w:name="Calibri">
    <w:panose1 w:val="020F0502020204030204"/>
    <w:charset w:val="00"/>
    <w:family w:val="swiss"/>
    <w:pitch w:val="variable"/>
    <w:sig w:usb0="E0002AFF" w:usb1="C000247B" w:usb2="00000009" w:usb3="00000000" w:csb0="000001FF" w:csb1="00000000"/>
    <w:embedRegular r:id="rId9" w:fontKey="{B0ED9BFD-5986-9C48-86A7-900C19178E60}"/>
  </w:font>
  <w:font w:name="Cambria">
    <w:panose1 w:val="02040503050406030204"/>
    <w:charset w:val="00"/>
    <w:family w:val="roman"/>
    <w:pitch w:val="variable"/>
    <w:sig w:usb0="E00006FF" w:usb1="420024FF" w:usb2="02000000" w:usb3="00000000" w:csb0="0000019F" w:csb1="00000000"/>
    <w:embedRegular r:id="rId10" w:fontKey="{6E91F303-4B1A-1443-BE18-7A594D7569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40AED" w14:textId="77777777" w:rsidR="000D67A3" w:rsidRDefault="00000000">
    <w:pPr>
      <w:jc w:val="center"/>
    </w:pPr>
    <w:r>
      <w:fldChar w:fldCharType="begin"/>
    </w:r>
    <w:r>
      <w:instrText>PAGE</w:instrText>
    </w:r>
    <w:r>
      <w:fldChar w:fldCharType="separate"/>
    </w:r>
    <w:r w:rsidR="004904C5">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0BA8D" w14:textId="77777777" w:rsidR="000D67A3" w:rsidRDefault="000D67A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195939" w14:textId="77777777" w:rsidR="00B27B4B" w:rsidRDefault="00B27B4B">
      <w:pPr>
        <w:spacing w:after="0" w:line="240" w:lineRule="auto"/>
      </w:pPr>
      <w:r>
        <w:separator/>
      </w:r>
    </w:p>
  </w:footnote>
  <w:footnote w:type="continuationSeparator" w:id="0">
    <w:p w14:paraId="372D039A" w14:textId="77777777" w:rsidR="00B27B4B" w:rsidRDefault="00B27B4B">
      <w:pPr>
        <w:spacing w:after="0" w:line="240" w:lineRule="auto"/>
      </w:pPr>
      <w:r>
        <w:continuationSeparator/>
      </w:r>
    </w:p>
  </w:footnote>
  <w:footnote w:id="1">
    <w:p w14:paraId="30921D6E" w14:textId="77777777" w:rsidR="000D67A3" w:rsidRDefault="00000000">
      <w:pPr>
        <w:spacing w:after="0" w:line="240" w:lineRule="auto"/>
        <w:rPr>
          <w:sz w:val="20"/>
          <w:szCs w:val="20"/>
        </w:rPr>
      </w:pPr>
      <w:r>
        <w:rPr>
          <w:vertAlign w:val="superscript"/>
        </w:rPr>
        <w:footnoteRef/>
      </w:r>
      <w:r>
        <w:rPr>
          <w:sz w:val="20"/>
          <w:szCs w:val="20"/>
        </w:rPr>
        <w:t xml:space="preserve"> Data was compiled by Patricia </w:t>
      </w:r>
      <w:proofErr w:type="spellStart"/>
      <w:r>
        <w:rPr>
          <w:sz w:val="20"/>
          <w:szCs w:val="20"/>
        </w:rPr>
        <w:t>Drooff</w:t>
      </w:r>
      <w:proofErr w:type="spellEnd"/>
      <w:r>
        <w:rPr>
          <w:sz w:val="20"/>
          <w:szCs w:val="20"/>
        </w:rPr>
        <w:t xml:space="preserve"> from </w:t>
      </w:r>
      <w:hyperlink r:id="rId1">
        <w:r w:rsidR="000D67A3">
          <w:rPr>
            <w:color w:val="1155CC"/>
            <w:sz w:val="20"/>
            <w:szCs w:val="20"/>
            <w:u w:val="single"/>
          </w:rPr>
          <w:t>https://ocrportal.hhs.gov/ocr/breach/breach_report.jsf</w:t>
        </w:r>
      </w:hyperlink>
      <w:r>
        <w:rPr>
          <w:sz w:val="20"/>
          <w:szCs w:val="20"/>
        </w:rPr>
        <w:t xml:space="preserve">, posted by the U.S. Department of Health and Human Services Office for Civil Rights as required by section 13402(e)(4) of the HITECH Act </w:t>
      </w:r>
    </w:p>
  </w:footnote>
  <w:footnote w:id="2">
    <w:p w14:paraId="707FCCF7" w14:textId="77777777" w:rsidR="000D67A3" w:rsidRDefault="00000000">
      <w:pPr>
        <w:spacing w:after="0"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See How to Calculate Probability of a Third-Party Data Breach, Lee and Smith Sept 19, 2025, Page 23 &amp; 26.</w:t>
      </w:r>
    </w:p>
  </w:footnote>
  <w:footnote w:id="3">
    <w:p w14:paraId="71E70EEC" w14:textId="77777777" w:rsidR="000D67A3" w:rsidRDefault="00000000">
      <w:pPr>
        <w:spacing w:after="0"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See How to Calculate Probability of a Third-Party Data Breach, Lee and Smith Sept 19, 2025, Page 28, Figure 3</w:t>
      </w:r>
    </w:p>
  </w:footnote>
  <w:footnote w:id="4">
    <w:p w14:paraId="483462DA" w14:textId="77777777" w:rsidR="000D67A3" w:rsidRDefault="00000000">
      <w:pPr>
        <w:spacing w:after="0" w:line="240" w:lineRule="auto"/>
        <w:jc w:val="both"/>
        <w:rPr>
          <w:sz w:val="16"/>
          <w:szCs w:val="16"/>
        </w:rPr>
      </w:pPr>
      <w:r>
        <w:rPr>
          <w:vertAlign w:val="superscript"/>
        </w:rPr>
        <w:footnoteRef/>
      </w:r>
      <w:r>
        <w:rPr>
          <w:sz w:val="20"/>
          <w:szCs w:val="20"/>
        </w:rPr>
        <w:t xml:space="preserve"> </w:t>
      </w:r>
      <w:r>
        <w:rPr>
          <w:rFonts w:ascii="Times New Roman" w:eastAsia="Times New Roman" w:hAnsi="Times New Roman" w:cs="Times New Roman"/>
          <w:sz w:val="20"/>
          <w:szCs w:val="20"/>
        </w:rPr>
        <w:t>The Canadian Government’s OSFI, however, explicitly requires financial institutions to manage the aggregate risk arising from their third‑party relationships, as set out in Guideline B‑10: Third‑Party Risk Management (2023).</w:t>
      </w:r>
    </w:p>
  </w:footnote>
  <w:footnote w:id="5">
    <w:p w14:paraId="1CC12D6C" w14:textId="77777777" w:rsidR="000D67A3" w:rsidRDefault="00000000">
      <w:pPr>
        <w:spacing w:after="0"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See How to Calculate Probability of a Third-Party Data Breach, Lee and Smith Sept 19, 2025, Page 24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6625D8"/>
    <w:multiLevelType w:val="multilevel"/>
    <w:tmpl w:val="F3D6FF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EB75819"/>
    <w:multiLevelType w:val="multilevel"/>
    <w:tmpl w:val="E4F8A0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1D14227"/>
    <w:multiLevelType w:val="multilevel"/>
    <w:tmpl w:val="4B820C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47C34448"/>
    <w:multiLevelType w:val="multilevel"/>
    <w:tmpl w:val="833C00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AC64349"/>
    <w:multiLevelType w:val="multilevel"/>
    <w:tmpl w:val="37D8C3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A063701"/>
    <w:multiLevelType w:val="multilevel"/>
    <w:tmpl w:val="D60E54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62189481">
    <w:abstractNumId w:val="2"/>
  </w:num>
  <w:num w:numId="2" w16cid:durableId="299386692">
    <w:abstractNumId w:val="3"/>
  </w:num>
  <w:num w:numId="3" w16cid:durableId="813135421">
    <w:abstractNumId w:val="5"/>
  </w:num>
  <w:num w:numId="4" w16cid:durableId="814639072">
    <w:abstractNumId w:val="0"/>
  </w:num>
  <w:num w:numId="5" w16cid:durableId="2023971807">
    <w:abstractNumId w:val="4"/>
  </w:num>
  <w:num w:numId="6" w16cid:durableId="14213733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67A3"/>
    <w:rsid w:val="000D67A3"/>
    <w:rsid w:val="00475130"/>
    <w:rsid w:val="004904C5"/>
    <w:rsid w:val="004B616A"/>
    <w:rsid w:val="0063426D"/>
    <w:rsid w:val="006F0F6C"/>
    <w:rsid w:val="00811719"/>
    <w:rsid w:val="00AB1002"/>
    <w:rsid w:val="00B27B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FD905B5"/>
  <w15:docId w15:val="{2D240A93-7B45-EE43-B776-5A8392C1C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styleId="TableGrid">
    <w:name w:val="Table Grid"/>
    <w:basedOn w:val="TableNormal"/>
    <w:uiPriority w:val="39"/>
    <w:rsid w:val="004904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ocrportal.hhs.gov/ocr/breach/breach_report.js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2183</Words>
  <Characters>12445</Characters>
  <Application>Microsoft Office Word</Application>
  <DocSecurity>0</DocSecurity>
  <Lines>103</Lines>
  <Paragraphs>29</Paragraphs>
  <ScaleCrop>false</ScaleCrop>
  <Company>Vivo</Company>
  <LinksUpToDate>false</LinksUpToDate>
  <CharactersWithSpaces>14599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Dr. Thomas Lee</cp:lastModifiedBy>
  <cp:revision>2</cp:revision>
  <dcterms:created xsi:type="dcterms:W3CDTF">2026-01-27T15:33:00Z</dcterms:created>
  <dcterms:modified xsi:type="dcterms:W3CDTF">2026-01-27T15:33:00Z</dcterms:modified>
</cp:coreProperties>
</file>